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0D70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 w14:paraId="7AA69C1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sz w:val="21"/>
          <w:szCs w:val="21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sz w:val="44"/>
          <w:szCs w:val="44"/>
          <w:lang w:eastAsia="zh-CN"/>
        </w:rPr>
        <w:t>宿州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sz w:val="44"/>
          <w:szCs w:val="44"/>
        </w:rPr>
        <w:t>市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sz w:val="44"/>
          <w:szCs w:val="44"/>
          <w:lang w:val="en-US" w:eastAsia="zh-CN"/>
        </w:rPr>
        <w:t>水利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sz w:val="44"/>
          <w:szCs w:val="44"/>
        </w:rPr>
        <w:t>局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sz w:val="44"/>
          <w:szCs w:val="44"/>
          <w:lang w:eastAsia="zh-CN"/>
        </w:rPr>
        <w:t>2024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sz w:val="44"/>
          <w:szCs w:val="44"/>
        </w:rPr>
        <w:t>年</w:t>
      </w:r>
    </w:p>
    <w:p w14:paraId="5D03DE1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sz w:val="21"/>
          <w:szCs w:val="21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sz w:val="44"/>
          <w:szCs w:val="44"/>
        </w:rPr>
        <w:t>政府信息公开工作年度报告</w:t>
      </w:r>
    </w:p>
    <w:p w14:paraId="31F83F9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 w14:paraId="27BF799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</w:rPr>
        <w:t>根据《中华人民共和国政府信息公开条例》（国务院令第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sz w:val="32"/>
          <w:szCs w:val="32"/>
        </w:rPr>
        <w:t>711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</w:rPr>
        <w:t>号）规定，现发布《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eastAsia="zh-CN"/>
        </w:rPr>
        <w:t>宿州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市水利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</w:rPr>
        <w:t>局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</w:rPr>
        <w:t>年政府信息公开工作年度报告》。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eastAsia="zh-CN"/>
        </w:rPr>
        <w:t>本年度报告电子版可从宿州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</w:rPr>
        <w:t>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水利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</w:rPr>
        <w:t>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eastAsia="zh-CN"/>
        </w:rPr>
        <w:t>网站（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www.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slj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ahsz.gov.cn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eastAsia="zh-CN"/>
        </w:rPr>
        <w:t>）下载。</w:t>
      </w:r>
    </w:p>
    <w:p w14:paraId="0CC000B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</w:rPr>
        <w:t>一、总体情况</w:t>
      </w:r>
    </w:p>
    <w:p w14:paraId="4B13F9A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（一）主动公开情况。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2024年，围绕水利中心工作，持续做好基础栏目主动公开。紧扣民生领域，加强农村供水保障、水旱灾害监测预警、水利工程项目建设等民生领域信息公开。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通过网站依法主动公开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各类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信息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1154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及时公开水旱灾害防御工作部署和应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级响应信息7条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，实时动态发布洪水预警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28期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旱情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预警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1期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聚焦水利重点工作和热点问题，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多种形式发布权威信息、解读水利政策、提升传播效果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，发布政策解读文件12篇，联合市政府新闻办举办新闻发布会4场。开展“网上会客厅”视频直播活动，与广大网民开展互动交流。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依法规范做好人大建议和政协提案复文公开、部门财政预决算公开。</w:t>
      </w:r>
    </w:p>
    <w:p w14:paraId="0B6B2AA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依申请公开情况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规范依申请公开工作程序，严格依法办理答复工作，全年接收通过邮寄、网络提交的政府信息公开申请3件，包括予以公开水利业务类文件2件、本单位不掌握相关信息1件。所有申请均在法定时限内办理，无超期情况。</w:t>
      </w:r>
    </w:p>
    <w:p w14:paraId="20EEFE2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（三）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政府信息管理情况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严格落实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公文公开属性审核和规范性文件合法性审查机制，根据立、改、废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情况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及时做好动态更新维护。政务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网站、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政务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微信、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政务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微博的信息发布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严格落实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“三审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”，严格内容审核和保密审查，确保公开信息依法、及时、全面、准确。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全面清理原有栏目存在的无效无关、不规范信息。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及时发布《宿州市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水资源公报》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持续推进水利政策文件信息和相关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业务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数据公开。</w:t>
      </w:r>
    </w:p>
    <w:p w14:paraId="574551F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（四）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政府信息公开平台建设情况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持续加强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政务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网站、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政务微信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政务微博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等运行维护，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通过增设新栏目，优化旧栏目，重新规划首页页面布局等方式，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进一步优化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完善部门网站。加强微信公众号、微博等政务新媒体建设，突出强化信息发布、传播、引导等功能，及时公开重大政策决策部署，发布汛情、水利安全生产等涉及公共利益的事项。政务网站、政务微博、微信全年主动公开各类信息2289条，其中网站发布信息1154条、总访问量19.74万人次，政务微博、微信发布信息1135条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畅通诉求反映渠道，积极回应群众关切，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全年受理公众咨询涉水问题87</w:t>
      </w:r>
      <w:bookmarkStart w:id="2" w:name="_GoBack"/>
      <w:bookmarkEnd w:id="2"/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条，办理网络留言11件。</w:t>
      </w:r>
    </w:p>
    <w:p w14:paraId="1243F36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（五）监督保障情况。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加强工作部署，召开政务公开工作专题会议研究部署政务公开工作。印发《宿州市水利局2024年政务公开重点工作任务分工方案》，全面履行法定职责，压紧压实主体责任。加强政务公开工作培训和交流，持续做好《政府信息公开条例》宣传培训工作。配合做好政务公开第三方测评，举一反三检视问题，及时整改落实到位，改进提高政务公开工作。2024年我局未发生政府信息公开工作责任追究情况。</w:t>
      </w:r>
    </w:p>
    <w:p w14:paraId="54D19452">
      <w:pPr>
        <w:pStyle w:val="3"/>
        <w:keepNext w:val="0"/>
        <w:keepLines w:val="0"/>
        <w:widowControl/>
        <w:suppressLineNumbers w:val="0"/>
        <w:overflowPunct w:val="0"/>
        <w:autoSpaceDE w:val="0"/>
        <w:autoSpaceDN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4"/>
        <w:tblW w:w="9473" w:type="dxa"/>
        <w:jc w:val="center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168"/>
      </w:tblGrid>
      <w:tr w14:paraId="642E54FF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2A10A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OLE_LINK1"/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第二十条第（一）项</w:t>
            </w:r>
          </w:p>
        </w:tc>
      </w:tr>
      <w:tr w14:paraId="652CF948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1592F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ADBDA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D61D5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2DD24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现行有效件数</w:t>
            </w:r>
          </w:p>
        </w:tc>
      </w:tr>
      <w:tr w14:paraId="790607B0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D0013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0C251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3E91B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6082F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7F3DBC38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3FD5E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5E35A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055D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73CBB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60D3D477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96397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第二十条第（五）项</w:t>
            </w:r>
          </w:p>
        </w:tc>
      </w:tr>
      <w:tr w14:paraId="46E3B880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A487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9AE0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本年处理决定数量</w:t>
            </w:r>
          </w:p>
        </w:tc>
      </w:tr>
      <w:tr w14:paraId="73D41873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611E4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7AE1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48</w:t>
            </w:r>
          </w:p>
        </w:tc>
      </w:tr>
      <w:tr w14:paraId="568CE07A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E09F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第二十条第（六）项</w:t>
            </w:r>
          </w:p>
        </w:tc>
      </w:tr>
      <w:tr w14:paraId="4A62E078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0B0D9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0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92084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本年处理决定数量</w:t>
            </w:r>
          </w:p>
        </w:tc>
      </w:tr>
      <w:tr w14:paraId="2EB3BF48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D093F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09D6F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 w14:paraId="3EA0FE61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05896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6107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 w14:paraId="31AF8E38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BFB37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第二十条第（八）项</w:t>
            </w:r>
          </w:p>
        </w:tc>
      </w:tr>
      <w:tr w14:paraId="77465966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4BE0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D65F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 w14:paraId="74AD24D9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46BF7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1" w:name="OLE_LINK2"/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行政事业性收费</w:t>
            </w:r>
            <w:bookmarkEnd w:id="1"/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D5304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1488.32</w:t>
            </w:r>
          </w:p>
        </w:tc>
      </w:tr>
      <w:bookmarkEnd w:id="0"/>
    </w:tbl>
    <w:p w14:paraId="570B8265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overflowPunct w:val="0"/>
        <w:autoSpaceDE w:val="0"/>
        <w:autoSpaceDN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</w:rPr>
        <w:t>收到和处理政府信息公开申请情况</w:t>
      </w:r>
    </w:p>
    <w:tbl>
      <w:tblPr>
        <w:tblStyle w:val="4"/>
        <w:tblW w:w="9748" w:type="dxa"/>
        <w:jc w:val="center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0B44AF0F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CDF6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2B781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申请人情况</w:t>
            </w:r>
          </w:p>
        </w:tc>
      </w:tr>
      <w:tr w14:paraId="086477BA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4DAD2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83222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72D54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BE231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总计</w:t>
            </w:r>
          </w:p>
        </w:tc>
      </w:tr>
      <w:tr w14:paraId="6AD863B9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6742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A73907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D400E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商业</w:t>
            </w:r>
          </w:p>
          <w:p w14:paraId="0316F06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D4C27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科研</w:t>
            </w:r>
          </w:p>
          <w:p w14:paraId="512F959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75910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510B7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F1ABC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9017D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F9A2037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BB1C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B25A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6F82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84D2B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B299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752EE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F891B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B177F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 w14:paraId="485DDF5E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78057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3F40C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D7FF1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F8601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BE349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7F38E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89A26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40D8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4F7551BF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98352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0AB0F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3D56E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13765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515FC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53D49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1D4C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781F6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41059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 w14:paraId="29A2C1C1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4B14B5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96B17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00000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6DE3C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DBBF8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9AE43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D4CC5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BFEA4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7CFFD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3D722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55410F9B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20889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5784B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F23F62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F45D5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91A66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55C70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A4CC1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C9045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546B3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748F70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36846C71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E7A7E3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24EF5A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54F5DD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EA589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37F87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13D33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60989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DAFDB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E3AD0B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CCBB99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1D25B877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22E7F2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40EE98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C18E4F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88F3A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4BD93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3657A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8DD4B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F994B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16B164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6599C4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67257CED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633EF3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FE66BC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8ADBC3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EB681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3BFE7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4F270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A5F33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7CEB2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569339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98B275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76C298E1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8566E1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325B36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4CFC94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1789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D3BBF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53AEE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10BCF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7A46D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754A81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306B87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51DC42FE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A6B6FF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14A972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437B1F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E289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91CE7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CF9F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3B04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06535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710AEF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DB80DD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023A7E35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DAE758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28A75D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435E6E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8859A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B9A04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42EE8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656A0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C23EF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505F79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B1E50E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055FCD96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7DAFB1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E139F8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7A0155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ABD0C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7469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FD872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D8463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D0B20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EACD4A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9F51E0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69F2E29F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64ADED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EEDC6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4EF477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27445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427C5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26D3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BC4AF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17FE0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B848E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9D73B9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269ED1DD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6C428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7B6312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7ECE89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C9EB5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5834B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EC96A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19804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D26C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F0440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B747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5342732B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622F5B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B4ABE4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A8E44C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D3F2C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D9E3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10C86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5D695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EEC94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8FEB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3215E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71EAFC0E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45C5DD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A3D6A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33DCA9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6A812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630B9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ED0FD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ACD34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3581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5F4C9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310B3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22B248D0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3C56E0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1946DF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0BD62F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1B574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FC81E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90338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F57DC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C63A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2EA0B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2E9F5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42072702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B993B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0B4A2B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D3323A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14003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CF735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79F15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0C349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887FA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199B5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9BF92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69B8097F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53519E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26081C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4392B1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6F9A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6FB20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3E606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5791B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414B5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8F09A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D5146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3F0C20D9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74F02E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7213ED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A1B4A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B338C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41E16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9280B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D873B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72B9E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E8CC4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95E6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0DF38038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85D549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561CB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0926F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6B60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837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3042A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580BC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C3C49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57B3B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BD8B9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64BA71AA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A862E0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F2B59B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3403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A88A5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3E50C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B807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D054B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B39DE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2313D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36435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4410FB92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173429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2BD0AF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1C234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1F778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5199F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F5460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4DE19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B59FB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38AEC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CC049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77B7CBA0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F7D2BC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68904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DEA1C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8DC47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1977C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9843F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9A3A0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8585B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8BE75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</w:tr>
      <w:tr w14:paraId="0ED405AF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A6F67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A1987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4B268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E544F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6ADB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65855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17FAF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7F610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400435E">
      <w:pPr>
        <w:pStyle w:val="3"/>
        <w:keepNext w:val="0"/>
        <w:keepLines w:val="0"/>
        <w:widowControl/>
        <w:suppressLineNumbers w:val="0"/>
        <w:overflowPunct w:val="0"/>
        <w:autoSpaceDE w:val="0"/>
        <w:autoSpaceDN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7259EEE5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740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A378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行政诉讼</w:t>
            </w:r>
          </w:p>
        </w:tc>
      </w:tr>
      <w:tr w14:paraId="1116ED48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46F7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277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1E3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A049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6A00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BCC5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027B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复议后起诉</w:t>
            </w:r>
          </w:p>
        </w:tc>
      </w:tr>
      <w:tr w14:paraId="7F11CBB9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99D7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4B422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A68F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E0E61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82E97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A52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F1FF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1DC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181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1532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B85B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17F8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24DC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35D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2D3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总计</w:t>
            </w:r>
          </w:p>
        </w:tc>
      </w:tr>
      <w:tr w14:paraId="28040AB5"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CC42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eastAsia="黑体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53F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E6FF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60FE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3EF0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AA5D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EC69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82F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B1CD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36CD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AC87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8059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E5E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F6ED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CB71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581D487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</w:rPr>
        <w:t>五、存在的主要问题及改进情况</w:t>
      </w:r>
    </w:p>
    <w:p w14:paraId="6733F3D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2024年，市水利局政务公开工作取得一定成效，但还存在一些需要改进的地方。一是政务公开工作力度仍需加强；二是政策解读形式还需丰富；三是公开平台建设仍需进一步提升。</w:t>
      </w:r>
    </w:p>
    <w:p w14:paraId="0C0D27F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2025年，市水利局将严格落实各级政府关于政务公开的各项决策部署，深入推进政府信息公开工作。一是加大主动公开力度。严格按照相关政策文件规定主动公开信息，拓展和深化信息公开的内容和范围，做到应公开尽公开，切实保障群众知情权。二是丰富政策解读形式。综合运用新闻发布会、简明问答和图片图表、音频视频等方式，开展多元化解读，提升政策解读的质效。三是加强信息公开平台建设。优化调整政务网站和政务微信栏目，加强互动类栏目建设，提升公众获取信息的便捷度和满意度。</w:t>
      </w:r>
    </w:p>
    <w:p w14:paraId="7425214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六、其他需要报告的事项</w:t>
      </w:r>
    </w:p>
    <w:p w14:paraId="77BA6C0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both"/>
        <w:textAlignment w:val="auto"/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按照《国务院办公厅关于印发〈政府信息公开信息处理费管理办法〉的通知》（国办函〔2020〕109号）规定的按件、按量收费标准，本年度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未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sz w:val="32"/>
          <w:szCs w:val="32"/>
          <w:lang w:val="en-US" w:eastAsia="zh-CN"/>
        </w:rPr>
        <w:t>产生信息公开处理费。</w:t>
      </w:r>
    </w:p>
    <w:sectPr>
      <w:footerReference r:id="rId3" w:type="default"/>
      <w:pgSz w:w="11906" w:h="16838"/>
      <w:pgMar w:top="1701" w:right="1474" w:bottom="1417" w:left="1474" w:header="851" w:footer="992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9433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C028B2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C028B2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A84ABE"/>
    <w:multiLevelType w:val="singleLevel"/>
    <w:tmpl w:val="84A84AB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21022"/>
    <w:rsid w:val="006440E0"/>
    <w:rsid w:val="01100A0F"/>
    <w:rsid w:val="076170CE"/>
    <w:rsid w:val="08BE670A"/>
    <w:rsid w:val="0CAF2B73"/>
    <w:rsid w:val="0FAC035A"/>
    <w:rsid w:val="10362103"/>
    <w:rsid w:val="10E574A7"/>
    <w:rsid w:val="11CB45BF"/>
    <w:rsid w:val="128B5240"/>
    <w:rsid w:val="1467322F"/>
    <w:rsid w:val="17E551B2"/>
    <w:rsid w:val="1A975E62"/>
    <w:rsid w:val="1B621022"/>
    <w:rsid w:val="1D7A18F7"/>
    <w:rsid w:val="1DFD498D"/>
    <w:rsid w:val="1E7C34F5"/>
    <w:rsid w:val="22747443"/>
    <w:rsid w:val="27014BA9"/>
    <w:rsid w:val="284F6DA3"/>
    <w:rsid w:val="289906EC"/>
    <w:rsid w:val="2AC31382"/>
    <w:rsid w:val="2E364FD2"/>
    <w:rsid w:val="301D32E3"/>
    <w:rsid w:val="316A68A9"/>
    <w:rsid w:val="33D65682"/>
    <w:rsid w:val="35577297"/>
    <w:rsid w:val="379555CC"/>
    <w:rsid w:val="38300C73"/>
    <w:rsid w:val="3BEA631E"/>
    <w:rsid w:val="3C5462DE"/>
    <w:rsid w:val="3CFB4336"/>
    <w:rsid w:val="3D98695C"/>
    <w:rsid w:val="3E7D5F61"/>
    <w:rsid w:val="3F887E08"/>
    <w:rsid w:val="3FEE102E"/>
    <w:rsid w:val="401C06DA"/>
    <w:rsid w:val="40DE6B74"/>
    <w:rsid w:val="427317D0"/>
    <w:rsid w:val="43A37B4B"/>
    <w:rsid w:val="45DE30BD"/>
    <w:rsid w:val="4A147C6E"/>
    <w:rsid w:val="4ACD3647"/>
    <w:rsid w:val="4B26629D"/>
    <w:rsid w:val="4DCA36A9"/>
    <w:rsid w:val="4DFB487C"/>
    <w:rsid w:val="544F6DD7"/>
    <w:rsid w:val="559078BA"/>
    <w:rsid w:val="57B8376D"/>
    <w:rsid w:val="57E27733"/>
    <w:rsid w:val="59667064"/>
    <w:rsid w:val="5C845970"/>
    <w:rsid w:val="62D47ED6"/>
    <w:rsid w:val="65D73958"/>
    <w:rsid w:val="68363F09"/>
    <w:rsid w:val="69C1443B"/>
    <w:rsid w:val="6BF029D5"/>
    <w:rsid w:val="716E6F18"/>
    <w:rsid w:val="71815433"/>
    <w:rsid w:val="72C8231B"/>
    <w:rsid w:val="789F20AE"/>
    <w:rsid w:val="7F22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1140</Words>
  <Characters>1197</Characters>
  <Lines>0</Lines>
  <Paragraphs>0</Paragraphs>
  <TotalTime>22</TotalTime>
  <ScaleCrop>false</ScaleCrop>
  <LinksUpToDate>false</LinksUpToDate>
  <CharactersWithSpaces>1197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2025-01-12T12:41:00Z</dcterms:created>
  <dc:creator>Administrator</dc:creator>
  <cp:lastModifiedBy>宗波</cp:lastModifiedBy>
  <dcterms:modified xsi:type="dcterms:W3CDTF">2025-01-14T03:02:00Z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95156323046745B4826CDD3F62767CBE_13</vt:lpwstr>
  </property>
  <property fmtid="{D5CDD505-2E9C-101B-9397-08002B2CF9AE}" pid="4" name="KSOTemplateDocerSaveRecord">
    <vt:lpwstr>eyJoZGlkIjoiYjUzM2JjZTBkNTIzNjM2N2Y3YzhlYmIxNjEwNzFjYjUiLCJ1c2VySWQiOiIyMTE4MjI5ODMifQ==</vt:lpwstr>
  </property>
</Properties>
</file>