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650" w:type="dxa"/>
        <w:tblInd w:w="-73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2061"/>
        <w:gridCol w:w="4400"/>
        <w:gridCol w:w="1067"/>
        <w:gridCol w:w="13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5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48"/>
                <w:szCs w:val="28"/>
                <w:lang w:val="en-US" w:eastAsia="zh-CN"/>
              </w:rPr>
              <w:t>采购清单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4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技术参数及要求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点型光电感烟火灾探测器（含底座）</w:t>
            </w:r>
          </w:p>
        </w:tc>
        <w:tc>
          <w:tcPr>
            <w:tcW w:w="4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Calibri" w:hAnsi="Calibri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ascii="黑体" w:hAnsi="宋体" w:eastAsia="黑体" w:cs="黑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a)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工作电压：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DC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24V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b)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工作电流：监视电流 ≤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mA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；报警电流 ≤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1.3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mA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Calibri" w:hAnsi="Calibri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c)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线 制：两总线（无极性）；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Calibri" w:hAnsi="Calibri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d)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指示灯：正常监视状态：红色闪亮；报警状态：红色常亮；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Calibri" w:hAnsi="Calibri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e)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使用环境温度：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-10</w:t>
            </w:r>
            <w:r>
              <w:rPr>
                <w:rFonts w:ascii="Symbol" w:hAnsi="Symbol" w:eastAsia="宋体" w:cs="Symbol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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C~ +55</w:t>
            </w:r>
            <w:r>
              <w:rPr>
                <w:rFonts w:hint="default" w:ascii="Symbol" w:hAnsi="Symbol" w:eastAsia="宋体" w:cs="Symbol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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C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；使用环境湿度：≤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96%RH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（不凝露）；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Calibri" w:hAnsi="Calibri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f)执行标准：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GB 4715-2024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《点型感烟火灾探测器》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ascii="Calibri" w:hAnsi="Calibri" w:eastAsia="宋体" w:cs="宋体"/>
                <w:b/>
                <w:bCs/>
                <w:color w:val="auto"/>
                <w:spacing w:val="-3"/>
                <w:sz w:val="24"/>
                <w:szCs w:val="24"/>
                <w:highlight w:val="none"/>
              </w:rPr>
              <w:t>▲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须提供第三方检测报告并加盖单位公章。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联网式、含安装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手动火灾报警按钮（含底座）</w:t>
            </w:r>
          </w:p>
        </w:tc>
        <w:tc>
          <w:tcPr>
            <w:tcW w:w="4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Calibri" w:hAnsi="Calibri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a)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工作电压：总线≤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24V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Calibri" w:hAnsi="Calibri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b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)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工作电流：监视电流</w:t>
            </w:r>
            <w:r>
              <w:rPr>
                <w:rFonts w:ascii="Symbol" w:hAnsi="Symbol" w:eastAsia="宋体" w:cs="Symbol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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mA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；报警电流≤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mA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Calibri" w:hAnsi="Calibri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)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线制：两总线（无极性）；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Calibri" w:hAnsi="Calibri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d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)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指示灯：报警时红色常亮，正常监视时红色闪亮；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Calibri" w:hAnsi="Calibri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e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)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使用环境温度：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-10</w:t>
            </w:r>
            <w:r>
              <w:rPr>
                <w:rFonts w:hint="default" w:ascii="Symbol" w:hAnsi="Symbol" w:eastAsia="宋体" w:cs="Symbol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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C~ +55</w:t>
            </w:r>
            <w:r>
              <w:rPr>
                <w:rFonts w:hint="default" w:ascii="Symbol" w:hAnsi="Symbol" w:eastAsia="宋体" w:cs="Symbol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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C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；使用环境湿度：</w:t>
            </w:r>
            <w:r>
              <w:rPr>
                <w:rFonts w:hint="default" w:ascii="Symbol" w:hAnsi="Symbol" w:eastAsia="宋体" w:cs="Symbol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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95%RH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（不凝露）；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f)执行标准：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GB 19880-2005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《手动火灾报警按钮》。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ascii="Calibri" w:hAnsi="Calibri" w:eastAsia="宋体" w:cs="宋体"/>
                <w:b/>
                <w:bCs/>
                <w:color w:val="auto"/>
                <w:spacing w:val="-3"/>
                <w:sz w:val="24"/>
                <w:szCs w:val="24"/>
                <w:highlight w:val="none"/>
              </w:rPr>
              <w:t>▲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须提供第三方检测报告并加盖单位公章。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含安装，每层2个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火灾声光警报器（含底座）</w:t>
            </w:r>
          </w:p>
        </w:tc>
        <w:tc>
          <w:tcPr>
            <w:tcW w:w="4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Calibri" w:hAnsi="Calibri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ascii="黑体" w:hAnsi="宋体" w:eastAsia="黑体" w:cs="黑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a)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工作电压：总线≤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24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V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b)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工作电流：监视电流（报警电流）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≤5mA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Calibri" w:hAnsi="Calibri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c)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线制：两线制（无极性）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Calibri" w:hAnsi="Calibri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d)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报警声压级：7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dB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115dB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A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计权）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e)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使用环境温度：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-10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℃～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+55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℃；使用环境湿度：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≤95%RH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（不凝露）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f)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执行标准</w:t>
            </w: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GB 26851-2011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火灾声和</w:t>
            </w:r>
            <w:r>
              <w:rPr>
                <w:rFonts w:hint="default" w:ascii="Arial" w:hAnsi="Arial" w:eastAsia="宋体" w:cs="Arial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或光警报器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ascii="Calibri" w:hAnsi="Calibri" w:eastAsia="宋体" w:cs="宋体"/>
                <w:b/>
                <w:bCs/>
                <w:color w:val="auto"/>
                <w:spacing w:val="-3"/>
                <w:sz w:val="24"/>
                <w:szCs w:val="24"/>
                <w:highlight w:val="none"/>
              </w:rPr>
              <w:t>▲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须提供第三方检测报告并加盖单位公章。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含安装，每层2个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吸项扬声器（广播）</w:t>
            </w:r>
          </w:p>
        </w:tc>
        <w:tc>
          <w:tcPr>
            <w:tcW w:w="4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a)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电压:100/120V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b)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有效频率范围:80-9000Hz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c)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失真度 ：</w:t>
            </w:r>
            <w:r>
              <w:rPr>
                <w:rFonts w:ascii="Arial" w:hAnsi="Arial" w:eastAsia="宋体" w:cs="Arial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≤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7% ，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d)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工作温度范围 ：-30～60°C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执行标准</w:t>
            </w: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GB </w:t>
            </w:r>
            <w:r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16806</w:t>
            </w: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-20</w:t>
            </w:r>
            <w:r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06</w:t>
            </w: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《消防联动控制系统》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含安装，地下一层、二层各一个；大厅两个、宿舍楼、办公楼各一个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配管JDGφ20</w:t>
            </w:r>
          </w:p>
        </w:tc>
        <w:tc>
          <w:tcPr>
            <w:tcW w:w="4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GB/T 20041.21-2017&lt;&lt;电缆管理用导管系统第21部分:刚性导管系统的特殊要求&gt;&gt;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324米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电线NH-RVS-2*1.5</w:t>
            </w:r>
          </w:p>
        </w:tc>
        <w:tc>
          <w:tcPr>
            <w:tcW w:w="4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符合JB/T8734.2-2016标准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842米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室外电缆（地埋）NH-KVV-2*1.5</w:t>
            </w:r>
          </w:p>
        </w:tc>
        <w:tc>
          <w:tcPr>
            <w:tcW w:w="4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宋体" w:cs="宋体"/>
                <w:color w:val="auto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符合</w:t>
            </w:r>
            <w:r>
              <w:rPr>
                <w:rFonts w:ascii="黑体" w:hAnsi="宋体" w:eastAsia="黑体" w:cs="黑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GB/T19666-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2019标准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155米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报警主机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（含图文显示器CRT）</w:t>
            </w:r>
          </w:p>
        </w:tc>
        <w:tc>
          <w:tcPr>
            <w:tcW w:w="4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报警主机：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宋体" w:cs="宋体"/>
                <w:color w:val="auto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a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）工作电压：AC220V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b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）直流备电：含备电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c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）回路容量：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≥128个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执行标准：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GB50116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GB50166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规定配置总容量、回路容量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图文显示器：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Calibri" w:hAnsi="Calibri" w:eastAsia="宋体" w:cs="宋体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）适用环境：温度 0～40°C，相对湿度≤95RH（不凝露）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Calibri" w:hAnsi="Calibri" w:eastAsia="宋体" w:cs="宋体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）交流输入电压：220V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Calibri" w:hAnsi="Calibri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3）直流输入功率：≤15W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Calibri" w:hAnsi="Calibri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4）网络(控制器)节点：≤128 个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Calibri" w:hAnsi="Calibri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5）显示延时：≤3s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Calibri" w:hAnsi="Calibri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6）通讯距离：2000m（线径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1.5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平方）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Calibri" w:hAnsi="Calibri" w:eastAsia="宋体" w:cs="宋体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）报警记录容量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≥20000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条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Calibri" w:hAnsi="Calibri" w:eastAsia="宋体" w:cs="宋体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）显示器尺寸：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≥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18.5 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16:9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宽屏，分辨率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≥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1366*768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9)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主板配置：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四核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内存不小于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64G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硬盘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含安装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物联网信息传送设备</w:t>
            </w:r>
          </w:p>
        </w:tc>
        <w:tc>
          <w:tcPr>
            <w:tcW w:w="4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提供不小于4.3寸彩色液晶，提供实时时钟: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交流输入电压:187V~242VAC，50Hz±1%:直流备电:12V7.0Ah，全密封免维护蓄电池:适用环境:温度0°C~40°C:相对湿度≤95%(40°C不凝露)。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含物联网一年年费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广播主机</w:t>
            </w:r>
          </w:p>
        </w:tc>
        <w:tc>
          <w:tcPr>
            <w:tcW w:w="4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a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）供电电源：交流：AC220V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Calibri" w:hAnsi="Calibri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b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）失真限制的有效频率范围（频率响应）： 80Hz ～ 8kHz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c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）总谐波失真：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≤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 5%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Calibri" w:hAnsi="Calibri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d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）信噪比：≥70dB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Calibri" w:hAnsi="Calibri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e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）额定输出电压： 120V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Calibri" w:hAnsi="Calibri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f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）额定输出功率：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≤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  500W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g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）工作环境：温度 0℃-40℃ ,湿度 相对湿度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≤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 95％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执行标准：《消防联动控制系统GB16806-2006》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含安装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火灾报警调试试验费、安装费等（含配套辅材）</w:t>
            </w:r>
          </w:p>
        </w:tc>
        <w:tc>
          <w:tcPr>
            <w:tcW w:w="4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</w:tbl>
    <w:p>
      <w:pPr>
        <w:rPr>
          <w:rFonts w:ascii="Calibri" w:hAnsi="Calibri" w:eastAsia="宋体" w:cs="宋体"/>
          <w:color w:val="auto"/>
        </w:rPr>
      </w:pPr>
    </w:p>
    <w:p>
      <w:pPr>
        <w:rPr>
          <w:rFonts w:ascii="Calibri" w:hAnsi="Calibri" w:eastAsia="宋体" w:cs="宋体"/>
          <w:color w:val="auto"/>
        </w:rPr>
      </w:pPr>
    </w:p>
    <w:p>
      <w:pPr>
        <w:rPr>
          <w:rFonts w:ascii="Calibri" w:hAnsi="Calibri" w:eastAsia="宋体" w:cs="宋体"/>
          <w:color w:val="auto"/>
        </w:rPr>
      </w:pPr>
    </w:p>
    <w:p>
      <w:pPr>
        <w:spacing w:line="360" w:lineRule="auto"/>
        <w:jc w:val="center"/>
        <w:rPr>
          <w:rFonts w:ascii="仿宋" w:hAnsi="仿宋" w:eastAsia="仿宋" w:cs="仿宋"/>
          <w:b/>
          <w:color w:val="auto"/>
          <w:sz w:val="48"/>
          <w:szCs w:val="28"/>
        </w:rPr>
      </w:pPr>
      <w:r>
        <w:rPr>
          <w:rFonts w:hint="eastAsia" w:ascii="仿宋" w:hAnsi="仿宋" w:eastAsia="仿宋" w:cs="仿宋"/>
          <w:b/>
          <w:color w:val="auto"/>
          <w:sz w:val="48"/>
          <w:szCs w:val="28"/>
        </w:rPr>
        <w:t>报价函</w:t>
      </w:r>
    </w:p>
    <w:p>
      <w:pPr>
        <w:spacing w:line="360" w:lineRule="auto"/>
        <w:ind w:right="280"/>
        <w:jc w:val="lef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u w:val="single"/>
          <w:lang w:val="en-US" w:eastAsia="zh-CN"/>
        </w:rPr>
        <w:t>宿州市淮水北调管理中心</w:t>
      </w:r>
      <w:r>
        <w:rPr>
          <w:rFonts w:hint="eastAsia" w:ascii="仿宋" w:hAnsi="仿宋" w:eastAsia="仿宋" w:cs="仿宋"/>
          <w:color w:val="auto"/>
          <w:sz w:val="24"/>
        </w:rPr>
        <w:t>：</w:t>
      </w:r>
    </w:p>
    <w:p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我公司在收到贵单位发出的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公开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询价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资料</w:t>
      </w:r>
      <w:r>
        <w:rPr>
          <w:rFonts w:hint="eastAsia" w:ascii="仿宋" w:hAnsi="仿宋" w:eastAsia="仿宋" w:cs="仿宋"/>
          <w:color w:val="auto"/>
          <w:sz w:val="24"/>
        </w:rPr>
        <w:t>后，经研究，对贵单位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采购项目</w:t>
      </w:r>
      <w:r>
        <w:rPr>
          <w:rFonts w:hint="eastAsia" w:ascii="仿宋" w:hAnsi="仿宋" w:eastAsia="仿宋" w:cs="仿宋"/>
          <w:color w:val="auto"/>
          <w:sz w:val="24"/>
        </w:rPr>
        <w:t>做如下报价：</w:t>
      </w:r>
    </w:p>
    <w:p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</w:pPr>
    </w:p>
    <w:tbl>
      <w:tblPr>
        <w:tblStyle w:val="4"/>
        <w:tblW w:w="5160" w:type="pct"/>
        <w:tblInd w:w="-3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3418"/>
        <w:gridCol w:w="1308"/>
        <w:gridCol w:w="1246"/>
        <w:gridCol w:w="6"/>
        <w:gridCol w:w="20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434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94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项目名称</w:t>
            </w:r>
          </w:p>
        </w:tc>
        <w:tc>
          <w:tcPr>
            <w:tcW w:w="74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数量</w:t>
            </w:r>
          </w:p>
        </w:tc>
        <w:tc>
          <w:tcPr>
            <w:tcW w:w="708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报价（元）</w:t>
            </w:r>
          </w:p>
        </w:tc>
        <w:tc>
          <w:tcPr>
            <w:tcW w:w="1170" w:type="pct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</w:trPr>
        <w:tc>
          <w:tcPr>
            <w:tcW w:w="434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94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4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11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top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6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完全响应服务要求（附件）内容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</w:trPr>
        <w:tc>
          <w:tcPr>
            <w:tcW w:w="434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94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4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11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top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6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完全响应服务要求（附件）内容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</w:trPr>
        <w:tc>
          <w:tcPr>
            <w:tcW w:w="434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94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4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11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top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6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完全响应服务要求（附件）内容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3829" w:type="pct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合计</w:t>
            </w:r>
          </w:p>
        </w:tc>
        <w:tc>
          <w:tcPr>
            <w:tcW w:w="1170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top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5000" w:type="pct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注：本项目报价包含完成项目工作的所有内容。</w:t>
            </w:r>
          </w:p>
        </w:tc>
      </w:tr>
    </w:tbl>
    <w:p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ind w:left="0" w:firstLine="48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注：1、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投标总报价应包括投标产品以及其产生的采购、运输、人工、安装、售后（质保期两年）、税费等所有费用，即为履行合同的最终价格。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报价单位名称：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（盖单位公章）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法定代表人或委托代理人：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（签字或盖章）</w:t>
      </w:r>
    </w:p>
    <w:p>
      <w:pPr>
        <w:spacing w:line="360" w:lineRule="auto"/>
        <w:ind w:firstLine="560" w:firstLineChars="200"/>
        <w:jc w:val="righ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日期：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日</w:t>
      </w:r>
    </w:p>
    <w:p>
      <w:pP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br w:type="page"/>
      </w:r>
    </w:p>
    <w:p>
      <w:pP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rPr>
          <w:rFonts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声明函（附件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）：</w:t>
      </w:r>
    </w:p>
    <w:p>
      <w:pPr>
        <w:spacing w:before="179" w:line="219" w:lineRule="auto"/>
        <w:jc w:val="center"/>
        <w:rPr>
          <w:rFonts w:ascii="仿宋" w:hAnsi="仿宋" w:eastAsia="仿宋" w:cs="仿宋"/>
          <w:b/>
          <w:bCs/>
          <w:color w:val="auto"/>
          <w:kern w:val="0"/>
          <w:sz w:val="36"/>
          <w:szCs w:val="36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  <w:shd w:val="clear" w:color="auto" w:fill="FFFFFF"/>
        </w:rPr>
        <w:t>声明函</w:t>
      </w:r>
    </w:p>
    <w:p>
      <w:pPr>
        <w:spacing w:line="360" w:lineRule="auto"/>
        <w:ind w:left="1843"/>
        <w:rPr>
          <w:rFonts w:ascii="宋体" w:hAnsi="宋体" w:eastAsia="宋体" w:cs="宋体"/>
          <w:color w:val="auto"/>
          <w:sz w:val="32"/>
          <w:szCs w:val="32"/>
        </w:rPr>
      </w:pPr>
      <w:r>
        <w:rPr>
          <w:rFonts w:ascii="宋体" w:hAnsi="宋体" w:eastAsia="宋体" w:cs="宋体"/>
          <w:color w:val="auto"/>
          <w:sz w:val="32"/>
          <w:szCs w:val="32"/>
          <w14:textOutline w14:w="4356" w14:cap="flat" w14:cmpd="sng">
            <w14:solidFill>
              <w14:srgbClr w14:val="000000"/>
            </w14:solidFill>
            <w14:prstDash w14:val="solid"/>
            <w14:miter w14:val="0"/>
          </w14:textOutline>
        </w:rPr>
        <w:t>«政府采购法»第二十二条规定声明函</w:t>
      </w:r>
    </w:p>
    <w:p>
      <w:pPr>
        <w:spacing w:line="360" w:lineRule="auto"/>
        <w:ind w:left="86" w:right="121" w:firstLine="474"/>
        <w:rPr>
          <w:rFonts w:ascii="宋体" w:hAnsi="宋体" w:eastAsia="宋体" w:cs="宋体"/>
          <w:color w:val="auto"/>
          <w:sz w:val="24"/>
        </w:rPr>
      </w:pPr>
      <w:r>
        <w:rPr>
          <w:rFonts w:ascii="宋体" w:hAnsi="宋体" w:eastAsia="宋体" w:cs="宋体"/>
          <w:color w:val="auto"/>
          <w:sz w:val="24"/>
        </w:rPr>
        <w:t>根据《财政部关于促进政府采购公平竞争优化营商环境的通知》</w:t>
      </w:r>
      <w:r>
        <w:rPr>
          <w:rFonts w:hint="eastAsia" w:ascii="宋体" w:hAnsi="宋体" w:eastAsia="宋体" w:cs="宋体"/>
          <w:color w:val="auto"/>
          <w:sz w:val="24"/>
        </w:rPr>
        <w:t>（</w:t>
      </w:r>
      <w:r>
        <w:rPr>
          <w:rFonts w:ascii="宋体" w:hAnsi="宋体" w:eastAsia="宋体" w:cs="宋体"/>
          <w:color w:val="auto"/>
          <w:sz w:val="24"/>
        </w:rPr>
        <w:t>财库〔2019〕38号</w:t>
      </w:r>
      <w:r>
        <w:rPr>
          <w:rFonts w:hint="eastAsia" w:ascii="宋体" w:hAnsi="宋体" w:eastAsia="宋体" w:cs="宋体"/>
          <w:color w:val="auto"/>
          <w:sz w:val="24"/>
        </w:rPr>
        <w:t>）</w:t>
      </w:r>
      <w:r>
        <w:rPr>
          <w:rFonts w:ascii="宋体" w:hAnsi="宋体" w:eastAsia="宋体" w:cs="宋体"/>
          <w:color w:val="auto"/>
          <w:sz w:val="24"/>
        </w:rPr>
        <w:t>的规定，本公司郑重声明,本公司同时满足以下条件：</w:t>
      </w:r>
    </w:p>
    <w:p>
      <w:pPr>
        <w:spacing w:line="360" w:lineRule="auto"/>
        <w:ind w:left="578"/>
        <w:rPr>
          <w:rFonts w:ascii="宋体" w:hAnsi="宋体" w:eastAsia="宋体" w:cs="宋体"/>
          <w:color w:val="auto"/>
          <w:sz w:val="24"/>
        </w:rPr>
      </w:pPr>
      <w:r>
        <w:rPr>
          <w:rFonts w:ascii="宋体" w:hAnsi="宋体" w:eastAsia="宋体" w:cs="宋体"/>
          <w:color w:val="auto"/>
          <w:position w:val="29"/>
          <w:sz w:val="24"/>
        </w:rPr>
        <w:t>1.符合《中华人民共和国政府采购法》第二十二条规定。</w:t>
      </w:r>
    </w:p>
    <w:p>
      <w:pPr>
        <w:spacing w:line="360" w:lineRule="auto"/>
        <w:ind w:left="563"/>
        <w:rPr>
          <w:rFonts w:ascii="宋体" w:hAnsi="宋体" w:eastAsia="宋体" w:cs="宋体"/>
          <w:color w:val="auto"/>
          <w:sz w:val="24"/>
        </w:rPr>
      </w:pPr>
      <w:r>
        <w:rPr>
          <w:rFonts w:ascii="宋体" w:hAnsi="宋体" w:eastAsia="宋体" w:cs="宋体"/>
          <w:color w:val="auto"/>
          <w:sz w:val="24"/>
        </w:rPr>
        <w:t>2.本公司参加本项目采购活动由本企业提供服务。</w:t>
      </w:r>
    </w:p>
    <w:p>
      <w:pPr>
        <w:spacing w:line="360" w:lineRule="auto"/>
        <w:ind w:left="602"/>
        <w:rPr>
          <w:rFonts w:ascii="宋体" w:hAnsi="宋体" w:eastAsia="宋体" w:cs="宋体"/>
          <w:color w:val="auto"/>
          <w:sz w:val="24"/>
        </w:rPr>
      </w:pPr>
      <w:r>
        <w:rPr>
          <w:rFonts w:ascii="宋体" w:hAnsi="宋体" w:eastAsia="宋体" w:cs="宋体"/>
          <w:color w:val="auto"/>
          <w:sz w:val="24"/>
        </w:rPr>
        <w:t>本公司对上述声明的真实性负责。如有虚假，将依法承担相应责任。</w:t>
      </w:r>
    </w:p>
    <w:p>
      <w:pPr>
        <w:spacing w:line="360" w:lineRule="auto"/>
        <w:rPr>
          <w:rFonts w:ascii="Calibri" w:hAnsi="Calibri" w:eastAsia="宋体" w:cs="宋体"/>
          <w:color w:val="auto"/>
        </w:rPr>
      </w:pPr>
    </w:p>
    <w:p>
      <w:pPr>
        <w:spacing w:line="360" w:lineRule="auto"/>
        <w:rPr>
          <w:rFonts w:ascii="Calibri" w:hAnsi="Calibri" w:eastAsia="宋体" w:cs="宋体"/>
          <w:color w:val="auto"/>
        </w:rPr>
      </w:pPr>
    </w:p>
    <w:p>
      <w:pPr>
        <w:spacing w:line="360" w:lineRule="auto"/>
        <w:rPr>
          <w:rFonts w:ascii="Calibri" w:hAnsi="Calibri" w:eastAsia="宋体" w:cs="宋体"/>
          <w:color w:val="auto"/>
        </w:rPr>
      </w:pPr>
    </w:p>
    <w:p>
      <w:pPr>
        <w:spacing w:line="360" w:lineRule="auto"/>
        <w:rPr>
          <w:rFonts w:ascii="Calibri" w:hAnsi="Calibri" w:eastAsia="宋体" w:cs="宋体"/>
          <w:color w:val="auto"/>
        </w:rPr>
      </w:pPr>
    </w:p>
    <w:p>
      <w:pPr>
        <w:spacing w:line="360" w:lineRule="auto"/>
        <w:ind w:left="423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报价单位盖章：</w:t>
      </w:r>
    </w:p>
    <w:p>
      <w:pPr>
        <w:spacing w:line="360" w:lineRule="auto"/>
        <w:ind w:left="4296"/>
        <w:rPr>
          <w:rFonts w:ascii="宋体" w:hAnsi="宋体" w:eastAsia="宋体" w:cs="宋体"/>
          <w:color w:val="auto"/>
          <w:sz w:val="24"/>
        </w:rPr>
      </w:pPr>
      <w:r>
        <w:rPr>
          <w:rFonts w:ascii="宋体" w:hAnsi="宋体" w:eastAsia="宋体" w:cs="宋体"/>
          <w:color w:val="auto"/>
          <w:sz w:val="24"/>
        </w:rPr>
        <w:t>日期：</w:t>
      </w:r>
    </w:p>
    <w:p>
      <w:pPr>
        <w:spacing w:line="282" w:lineRule="auto"/>
        <w:rPr>
          <w:rFonts w:ascii="Calibri" w:hAnsi="Calibri" w:eastAsia="宋体" w:cs="宋体"/>
          <w:color w:val="auto"/>
        </w:rPr>
      </w:pPr>
    </w:p>
    <w:p>
      <w:pPr>
        <w:spacing w:line="283" w:lineRule="auto"/>
        <w:rPr>
          <w:rFonts w:ascii="Calibri" w:hAnsi="Calibri" w:eastAsia="宋体" w:cs="宋体"/>
          <w:color w:val="auto"/>
        </w:rPr>
      </w:pPr>
    </w:p>
    <w:p>
      <w:pPr>
        <w:rPr>
          <w:rFonts w:ascii="Calibri" w:hAnsi="Calibri" w:eastAsia="宋体" w:cs="宋体"/>
          <w:color w:val="auto"/>
          <w:sz w:val="24"/>
        </w:rPr>
      </w:pPr>
      <w:r>
        <w:rPr>
          <w:rFonts w:hint="eastAsia" w:ascii="Calibri" w:hAnsi="Calibri" w:eastAsia="宋体" w:cs="宋体"/>
          <w:color w:val="auto"/>
          <w:sz w:val="24"/>
        </w:rPr>
        <w:br w:type="page"/>
      </w:r>
    </w:p>
    <w:p>
      <w:pPr>
        <w:spacing w:line="360" w:lineRule="auto"/>
        <w:jc w:val="center"/>
        <w:rPr>
          <w:rFonts w:ascii="宋体" w:hAnsi="宋体" w:eastAsia="宋体" w:cs="宋体"/>
          <w:color w:val="auto"/>
          <w:sz w:val="32"/>
          <w:szCs w:val="32"/>
          <w14:textOutline w14:w="4356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ascii="宋体" w:hAnsi="宋体" w:eastAsia="宋体" w:cs="宋体"/>
          <w:color w:val="auto"/>
          <w:sz w:val="32"/>
          <w:szCs w:val="32"/>
          <w14:textOutline w14:w="4356" w14:cap="flat" w14:cmpd="sng">
            <w14:solidFill>
              <w14:srgbClr w14:val="000000"/>
            </w14:solidFill>
            <w14:prstDash w14:val="solid"/>
            <w14:miter w14:val="0"/>
          </w14:textOutline>
        </w:rPr>
        <w:t>无重大违法记录声明函</w:t>
      </w:r>
    </w:p>
    <w:p>
      <w:pPr>
        <w:spacing w:line="360" w:lineRule="auto"/>
        <w:ind w:left="86" w:right="121" w:firstLine="474"/>
        <w:rPr>
          <w:rFonts w:ascii="宋体" w:hAnsi="宋体" w:eastAsia="宋体" w:cs="宋体"/>
          <w:color w:val="auto"/>
          <w:sz w:val="24"/>
        </w:rPr>
      </w:pPr>
      <w:r>
        <w:rPr>
          <w:rFonts w:ascii="宋体" w:hAnsi="宋体" w:eastAsia="宋体" w:cs="宋体"/>
          <w:color w:val="auto"/>
          <w:sz w:val="24"/>
        </w:rPr>
        <w:t>本公司郑重声明，根据《中华人民共和国政府采购法》及《中华人民共和国政府采购法实施条例》的规定，参加政府采购活动前三年内，本公司在经营活动中没有重大违法记录，没有因违法经营受到刑事处罚或者责令停产停业、吊销许可证或者执照、较大数额罚款等行政处罚。</w:t>
      </w:r>
    </w:p>
    <w:p>
      <w:pPr>
        <w:spacing w:line="360" w:lineRule="auto"/>
        <w:ind w:left="86" w:right="121" w:firstLine="474"/>
        <w:rPr>
          <w:rFonts w:ascii="宋体" w:hAnsi="宋体" w:eastAsia="宋体" w:cs="宋体"/>
          <w:color w:val="auto"/>
          <w:sz w:val="24"/>
        </w:rPr>
      </w:pPr>
      <w:r>
        <w:rPr>
          <w:rFonts w:ascii="宋体" w:hAnsi="宋体" w:eastAsia="宋体" w:cs="宋体"/>
          <w:color w:val="auto"/>
          <w:sz w:val="24"/>
        </w:rPr>
        <w:t>本公司对上述声明的真实性负责。如有虚假，将依法承担相应责任。</w:t>
      </w:r>
    </w:p>
    <w:p>
      <w:pPr>
        <w:spacing w:line="360" w:lineRule="auto"/>
        <w:rPr>
          <w:rFonts w:ascii="Calibri" w:hAnsi="Calibri" w:eastAsia="宋体" w:cs="宋体"/>
          <w:color w:val="auto"/>
        </w:rPr>
      </w:pPr>
    </w:p>
    <w:p>
      <w:pPr>
        <w:spacing w:line="360" w:lineRule="auto"/>
        <w:ind w:left="423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报价单位盖章：</w:t>
      </w:r>
    </w:p>
    <w:p>
      <w:pPr>
        <w:spacing w:line="360" w:lineRule="auto"/>
        <w:ind w:left="4296"/>
        <w:rPr>
          <w:rFonts w:ascii="宋体" w:hAnsi="宋体" w:eastAsia="宋体" w:cs="宋体"/>
          <w:color w:val="auto"/>
          <w:sz w:val="24"/>
        </w:rPr>
      </w:pPr>
      <w:r>
        <w:rPr>
          <w:rFonts w:ascii="宋体" w:hAnsi="宋体" w:eastAsia="宋体" w:cs="宋体"/>
          <w:color w:val="auto"/>
          <w:sz w:val="24"/>
        </w:rPr>
        <w:t>日期：</w:t>
      </w:r>
    </w:p>
    <w:p>
      <w:pPr>
        <w:spacing w:line="360" w:lineRule="auto"/>
        <w:rPr>
          <w:rFonts w:ascii="Calibri" w:hAnsi="Calibri" w:eastAsia="宋体" w:cs="宋体"/>
          <w:color w:val="auto"/>
        </w:rPr>
      </w:pPr>
    </w:p>
    <w:p>
      <w:pPr>
        <w:spacing w:line="360" w:lineRule="auto"/>
        <w:rPr>
          <w:rFonts w:ascii="Calibri" w:hAnsi="Calibri" w:eastAsia="宋体" w:cs="宋体"/>
          <w:color w:val="auto"/>
        </w:rPr>
      </w:pPr>
    </w:p>
    <w:p>
      <w:pPr>
        <w:spacing w:line="360" w:lineRule="auto"/>
        <w:jc w:val="center"/>
        <w:rPr>
          <w:rFonts w:ascii="宋体" w:hAnsi="宋体" w:eastAsia="宋体" w:cs="宋体"/>
          <w:color w:val="auto"/>
          <w:sz w:val="32"/>
          <w:szCs w:val="32"/>
          <w14:textOutline w14:w="4356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ascii="宋体" w:hAnsi="宋体" w:eastAsia="宋体" w:cs="宋体"/>
          <w:color w:val="auto"/>
          <w:sz w:val="32"/>
          <w:szCs w:val="32"/>
          <w14:textOutline w14:w="4356" w14:cap="flat" w14:cmpd="sng">
            <w14:solidFill>
              <w14:srgbClr w14:val="000000"/>
            </w14:solidFill>
            <w14:prstDash w14:val="solid"/>
            <w14:miter w14:val="0"/>
          </w14:textOutline>
        </w:rPr>
        <w:t>无不良信用记录声明函</w:t>
      </w:r>
    </w:p>
    <w:p>
      <w:pPr>
        <w:spacing w:line="360" w:lineRule="auto"/>
        <w:ind w:left="86" w:right="121" w:firstLine="474"/>
        <w:rPr>
          <w:rFonts w:ascii="宋体" w:hAnsi="宋体" w:eastAsia="宋体" w:cs="宋体"/>
          <w:color w:val="auto"/>
          <w:sz w:val="24"/>
        </w:rPr>
      </w:pPr>
      <w:r>
        <w:rPr>
          <w:rFonts w:ascii="宋体" w:hAnsi="宋体" w:eastAsia="宋体" w:cs="宋体"/>
          <w:color w:val="auto"/>
          <w:sz w:val="24"/>
        </w:rPr>
        <w:t>本公司郑重声明，我公司无以下不良信用记录情形：</w:t>
      </w:r>
    </w:p>
    <w:p>
      <w:pPr>
        <w:spacing w:line="360" w:lineRule="auto"/>
        <w:ind w:left="86" w:right="121" w:firstLine="474"/>
        <w:rPr>
          <w:rFonts w:ascii="宋体" w:hAnsi="宋体" w:eastAsia="宋体" w:cs="宋体"/>
          <w:color w:val="auto"/>
          <w:sz w:val="24"/>
        </w:rPr>
      </w:pPr>
      <w:r>
        <w:rPr>
          <w:rFonts w:ascii="宋体" w:hAnsi="宋体" w:eastAsia="宋体" w:cs="宋体"/>
          <w:color w:val="auto"/>
          <w:sz w:val="24"/>
        </w:rPr>
        <w:t>1、公司被人民法院列入失信被执行人；</w:t>
      </w:r>
    </w:p>
    <w:p>
      <w:pPr>
        <w:spacing w:line="360" w:lineRule="auto"/>
        <w:ind w:left="86" w:right="121" w:firstLine="474"/>
        <w:rPr>
          <w:rFonts w:ascii="宋体" w:hAnsi="宋体" w:eastAsia="宋体" w:cs="宋体"/>
          <w:color w:val="auto"/>
          <w:sz w:val="24"/>
        </w:rPr>
      </w:pPr>
      <w:r>
        <w:rPr>
          <w:rFonts w:ascii="宋体" w:hAnsi="宋体" w:eastAsia="宋体" w:cs="宋体"/>
          <w:color w:val="auto"/>
          <w:sz w:val="24"/>
        </w:rPr>
        <w:t>2、公司、法定代表人或拟派项目经理</w:t>
      </w:r>
      <w:r>
        <w:rPr>
          <w:rFonts w:hint="eastAsia" w:ascii="宋体" w:hAnsi="宋体" w:eastAsia="宋体" w:cs="宋体"/>
          <w:color w:val="auto"/>
          <w:sz w:val="24"/>
        </w:rPr>
        <w:t>（</w:t>
      </w:r>
      <w:r>
        <w:rPr>
          <w:rFonts w:ascii="宋体" w:hAnsi="宋体" w:eastAsia="宋体" w:cs="宋体"/>
          <w:color w:val="auto"/>
          <w:sz w:val="24"/>
        </w:rPr>
        <w:t>项目负责人</w:t>
      </w:r>
      <w:r>
        <w:rPr>
          <w:rFonts w:hint="eastAsia" w:ascii="宋体" w:hAnsi="宋体" w:eastAsia="宋体" w:cs="宋体"/>
          <w:color w:val="auto"/>
          <w:sz w:val="24"/>
        </w:rPr>
        <w:t>）</w:t>
      </w:r>
      <w:r>
        <w:rPr>
          <w:rFonts w:ascii="宋体" w:hAnsi="宋体" w:eastAsia="宋体" w:cs="宋体"/>
          <w:color w:val="auto"/>
          <w:sz w:val="24"/>
        </w:rPr>
        <w:t>被人民检察院列入行贿犯罪档案；</w:t>
      </w:r>
    </w:p>
    <w:p>
      <w:pPr>
        <w:spacing w:line="360" w:lineRule="auto"/>
        <w:ind w:left="86" w:right="121" w:firstLine="474"/>
        <w:rPr>
          <w:rFonts w:ascii="宋体" w:hAnsi="宋体" w:eastAsia="宋体" w:cs="宋体"/>
          <w:color w:val="auto"/>
          <w:sz w:val="24"/>
        </w:rPr>
      </w:pPr>
      <w:r>
        <w:rPr>
          <w:rFonts w:ascii="宋体" w:hAnsi="宋体" w:eastAsia="宋体" w:cs="宋体"/>
          <w:color w:val="auto"/>
          <w:sz w:val="24"/>
        </w:rPr>
        <w:t>3、公司被工商行政管理部门列入企业经营异常名录；</w:t>
      </w:r>
    </w:p>
    <w:p>
      <w:pPr>
        <w:spacing w:line="360" w:lineRule="auto"/>
        <w:ind w:left="86" w:right="121" w:firstLine="474"/>
        <w:rPr>
          <w:rFonts w:ascii="宋体" w:hAnsi="宋体" w:eastAsia="宋体" w:cs="宋体"/>
          <w:color w:val="auto"/>
          <w:sz w:val="24"/>
        </w:rPr>
      </w:pPr>
      <w:r>
        <w:rPr>
          <w:rFonts w:ascii="宋体" w:hAnsi="宋体" w:eastAsia="宋体" w:cs="宋体"/>
          <w:color w:val="auto"/>
          <w:sz w:val="24"/>
        </w:rPr>
        <w:t>4、公司被税务部门列入重大税收违法案件当事人名单；</w:t>
      </w:r>
    </w:p>
    <w:p>
      <w:pPr>
        <w:spacing w:line="360" w:lineRule="auto"/>
        <w:ind w:left="86" w:right="121" w:firstLine="474"/>
        <w:rPr>
          <w:rFonts w:ascii="宋体" w:hAnsi="宋体" w:eastAsia="宋体" w:cs="宋体"/>
          <w:color w:val="auto"/>
          <w:sz w:val="24"/>
        </w:rPr>
      </w:pPr>
      <w:r>
        <w:rPr>
          <w:rFonts w:ascii="宋体" w:hAnsi="宋体" w:eastAsia="宋体" w:cs="宋体"/>
          <w:color w:val="auto"/>
          <w:sz w:val="24"/>
        </w:rPr>
        <w:t>5、公司被政府采购监管部门列入政府采购严重违法失信行为记录名单。</w:t>
      </w:r>
    </w:p>
    <w:p>
      <w:pPr>
        <w:spacing w:line="360" w:lineRule="auto"/>
        <w:ind w:left="86" w:right="121" w:firstLine="474"/>
        <w:rPr>
          <w:rFonts w:ascii="宋体" w:hAnsi="宋体" w:eastAsia="宋体" w:cs="宋体"/>
          <w:color w:val="auto"/>
          <w:sz w:val="24"/>
        </w:rPr>
      </w:pPr>
      <w:r>
        <w:rPr>
          <w:rFonts w:ascii="宋体" w:hAnsi="宋体" w:eastAsia="宋体" w:cs="宋体"/>
          <w:color w:val="auto"/>
          <w:sz w:val="24"/>
        </w:rPr>
        <w:t>我公司已就上述不良信用行为按照</w:t>
      </w:r>
      <w:r>
        <w:rPr>
          <w:rFonts w:hint="eastAsia" w:ascii="宋体" w:hAnsi="宋体" w:eastAsia="宋体" w:cs="宋体"/>
          <w:color w:val="auto"/>
          <w:sz w:val="24"/>
        </w:rPr>
        <w:t>询价函</w:t>
      </w:r>
      <w:r>
        <w:rPr>
          <w:rFonts w:ascii="宋体" w:hAnsi="宋体" w:eastAsia="宋体" w:cs="宋体"/>
          <w:color w:val="auto"/>
          <w:sz w:val="24"/>
        </w:rPr>
        <w:t>规定进行了查询。我公司承诺：合同签订前，若我公司具有不良信用记录情形，贵方可取消我公司</w:t>
      </w:r>
      <w:r>
        <w:rPr>
          <w:rFonts w:hint="eastAsia" w:ascii="宋体" w:hAnsi="宋体" w:eastAsia="宋体" w:cs="宋体"/>
          <w:color w:val="auto"/>
          <w:sz w:val="24"/>
        </w:rPr>
        <w:t>成交</w:t>
      </w:r>
      <w:r>
        <w:rPr>
          <w:rFonts w:ascii="宋体" w:hAnsi="宋体" w:eastAsia="宋体" w:cs="宋体"/>
          <w:color w:val="auto"/>
          <w:sz w:val="24"/>
        </w:rPr>
        <w:t>资格或者不授予合同，所有责任由我公司自行承担。同时，我公司愿意无条件接受监管部门的调查处理。</w:t>
      </w:r>
    </w:p>
    <w:p>
      <w:pPr>
        <w:spacing w:line="360" w:lineRule="auto"/>
        <w:ind w:left="4230"/>
        <w:rPr>
          <w:rFonts w:ascii="宋体" w:hAnsi="宋体" w:eastAsia="宋体" w:cs="宋体"/>
          <w:color w:val="auto"/>
          <w:sz w:val="24"/>
        </w:rPr>
      </w:pPr>
    </w:p>
    <w:p>
      <w:pPr>
        <w:spacing w:line="360" w:lineRule="auto"/>
        <w:ind w:left="423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报价单位盖章：</w:t>
      </w:r>
    </w:p>
    <w:p>
      <w:pPr>
        <w:spacing w:line="360" w:lineRule="auto"/>
        <w:ind w:left="4296"/>
        <w:rPr>
          <w:rFonts w:ascii="宋体" w:hAnsi="宋体" w:eastAsia="宋体" w:cs="宋体"/>
          <w:color w:val="auto"/>
          <w:sz w:val="24"/>
        </w:rPr>
      </w:pPr>
      <w:r>
        <w:rPr>
          <w:rFonts w:ascii="宋体" w:hAnsi="宋体" w:eastAsia="宋体" w:cs="宋体"/>
          <w:color w:val="auto"/>
          <w:sz w:val="24"/>
        </w:rPr>
        <w:t>日期：</w:t>
      </w:r>
    </w:p>
    <w:p>
      <w:pPr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48"/>
          <w:szCs w:val="28"/>
          <w:lang w:val="en-US" w:eastAsia="zh-CN"/>
        </w:rPr>
      </w:pPr>
    </w:p>
    <w:p>
      <w:pPr>
        <w:widowControl w:val="0"/>
        <w:spacing w:after="120" w:line="240" w:lineRule="auto"/>
        <w:ind w:left="0" w:leftChars="0" w:firstLine="0" w:firstLineChars="0"/>
        <w:jc w:val="both"/>
        <w:rPr>
          <w:rFonts w:hint="default" w:ascii="楷体_GB2312" w:hAnsi="Times New Roman" w:eastAsia="楷体_GB2312" w:cs="宋体"/>
          <w:color w:val="auto"/>
          <w:kern w:val="2"/>
          <w:sz w:val="32"/>
          <w:szCs w:val="20"/>
          <w:lang w:val="en-US" w:eastAsia="zh-CN" w:bidi="ar-SA"/>
        </w:rPr>
      </w:pPr>
    </w:p>
    <w:p>
      <w:pPr>
        <w:rPr>
          <w:rFonts w:hint="eastAsia" w:ascii="仿宋" w:hAnsi="仿宋" w:eastAsia="仿宋" w:cs="仿宋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评分办法（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附件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3）</w:t>
      </w:r>
    </w:p>
    <w:p>
      <w:pPr>
        <w:jc w:val="center"/>
        <w:rPr>
          <w:rFonts w:hint="eastAsia" w:ascii="仿宋" w:hAnsi="仿宋" w:eastAsia="仿宋" w:cs="宋体"/>
          <w:b/>
          <w:bCs/>
          <w:color w:val="auto"/>
          <w:kern w:val="0"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color w:val="auto"/>
          <w:kern w:val="0"/>
          <w:sz w:val="36"/>
          <w:szCs w:val="36"/>
        </w:rPr>
        <w:t>评 分 办 法</w:t>
      </w:r>
    </w:p>
    <w:tbl>
      <w:tblPr>
        <w:tblStyle w:val="3"/>
        <w:tblW w:w="8659" w:type="dxa"/>
        <w:tblInd w:w="-1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240"/>
        <w:gridCol w:w="5142"/>
        <w:gridCol w:w="11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评审项目</w:t>
            </w:r>
          </w:p>
        </w:tc>
        <w:tc>
          <w:tcPr>
            <w:tcW w:w="124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 w:firstLine="120" w:firstLineChars="5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分值</w:t>
            </w:r>
          </w:p>
        </w:tc>
        <w:tc>
          <w:tcPr>
            <w:tcW w:w="514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2160" w:firstLineChars="900"/>
              <w:jc w:val="both"/>
              <w:rPr>
                <w:rFonts w:hint="default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评审内容及标准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57"/>
              </w:tabs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09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技术分</w:t>
            </w:r>
          </w:p>
        </w:tc>
        <w:tc>
          <w:tcPr>
            <w:tcW w:w="12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30分</w:t>
            </w:r>
          </w:p>
        </w:tc>
        <w:tc>
          <w:tcPr>
            <w:tcW w:w="514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440" w:lineRule="exac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一、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安装、调试、培训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方案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15分）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根据供应商提供的工作方案的详细、完整，工作流程清晰、规范，方案切实可行的程度，对供应商进行综合评价；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before="0" w:beforeAutospacing="0" w:after="0" w:afterAutospacing="0" w:line="288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  <w:t>（1）安装、调试、培训方案清晰、内容全面，目标明确、合理、科学的得15分；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before="0" w:beforeAutospacing="0" w:after="0" w:afterAutospacing="0" w:line="288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  <w:t>（2）安装、调试、培训方案较清晰、内容较全面，目标较明确、合理、科学的得10分；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before="0" w:beforeAutospacing="0" w:after="0" w:afterAutospacing="0" w:line="288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  <w:t>（3）安装、调试、培训方案基本清晰、目标基本明确、合理、科学的得5分；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before="0" w:beforeAutospacing="0" w:after="0" w:afterAutospacing="0" w:line="288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  <w:t>（4）安装、调试、培训方案模糊、内容不够全面，目标明确性、合理性相对欠缺的得1分；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before="0" w:beforeAutospacing="0" w:after="0" w:afterAutospacing="0" w:line="288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  <w:t>（5）未提供不得分。</w:t>
            </w:r>
          </w:p>
          <w:p>
            <w:pPr>
              <w:spacing w:line="440" w:lineRule="exact"/>
              <w:rPr>
                <w:rFonts w:hint="default" w:ascii="宋体" w:hAnsi="Calibri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二、企业业绩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15分）</w:t>
            </w:r>
          </w:p>
          <w:p>
            <w:pPr>
              <w:spacing w:line="440" w:lineRule="exact"/>
              <w:rPr>
                <w:rFonts w:hint="eastAsia" w:ascii="宋体" w:hAnsi="Calibri" w:eastAsia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在满足资格要求业绩的情况下，</w:t>
            </w:r>
            <w:r>
              <w:rPr>
                <w:rFonts w:hint="eastAsia" w:ascii="宋体" w:hAnsi="Calibri" w:eastAsia="宋体" w:cs="Times New Roman"/>
                <w:b w:val="0"/>
                <w:bCs w:val="0"/>
                <w:color w:val="auto"/>
                <w:sz w:val="24"/>
                <w:szCs w:val="24"/>
              </w:rPr>
              <w:t>投标供应商2022年1月1日至今（以签订合同日期为准）</w:t>
            </w:r>
            <w:r>
              <w:rPr>
                <w:rFonts w:hint="eastAsia" w:ascii="宋体" w:hAnsi="Calibri" w:eastAsia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每多提供</w:t>
            </w:r>
            <w:r>
              <w:rPr>
                <w:rFonts w:hint="eastAsia" w:ascii="宋体" w:hAnsi="Calibri" w:eastAsia="宋体" w:cs="Times New Roman"/>
                <w:b w:val="0"/>
                <w:bCs w:val="0"/>
                <w:color w:val="auto"/>
                <w:sz w:val="24"/>
                <w:szCs w:val="24"/>
              </w:rPr>
              <w:t>1个类似施工或维修或安装业绩业绩</w:t>
            </w:r>
            <w:r>
              <w:rPr>
                <w:rFonts w:hint="eastAsia" w:ascii="宋体" w:hAnsi="Calibri" w:eastAsia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的得5分，本项最高得15分。</w:t>
            </w:r>
          </w:p>
          <w:p>
            <w:pPr>
              <w:spacing w:line="440" w:lineRule="exact"/>
              <w:rPr>
                <w:rFonts w:hint="eastAsia" w:ascii="宋体" w:hAnsi="Calibri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注：</w:t>
            </w:r>
            <w:r>
              <w:rPr>
                <w:rFonts w:hint="eastAsia" w:ascii="宋体" w:hAnsi="Calibri" w:eastAsia="宋体" w:cs="Times New Roman"/>
                <w:b w:val="0"/>
                <w:bCs w:val="0"/>
                <w:color w:val="auto"/>
                <w:sz w:val="24"/>
                <w:szCs w:val="24"/>
              </w:rPr>
              <w:t>须提供业绩合同扫描件并加盖单位公章。</w:t>
            </w:r>
          </w:p>
        </w:tc>
        <w:tc>
          <w:tcPr>
            <w:tcW w:w="118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default" w:ascii="宋体" w:hAnsi="宋体" w:eastAsia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09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报价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分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4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70分</w:t>
            </w:r>
          </w:p>
        </w:tc>
        <w:tc>
          <w:tcPr>
            <w:tcW w:w="514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spacing w:line="440" w:lineRule="exact"/>
              <w:rPr>
                <w:rFonts w:ascii="宋体" w:hAnsi="Calibri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b w:val="0"/>
                <w:bCs w:val="0"/>
                <w:color w:val="auto"/>
                <w:sz w:val="24"/>
                <w:szCs w:val="24"/>
              </w:rPr>
              <w:t>①评标基准价C值的确定：</w:t>
            </w:r>
          </w:p>
          <w:p>
            <w:pPr>
              <w:spacing w:line="440" w:lineRule="exact"/>
              <w:rPr>
                <w:rFonts w:hint="eastAsia" w:ascii="宋体" w:hAnsi="Calibri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b w:val="0"/>
                <w:bCs w:val="0"/>
                <w:color w:val="auto"/>
                <w:sz w:val="24"/>
                <w:szCs w:val="24"/>
              </w:rPr>
              <w:t>C值为各投标企业有效报价的算术平均值</w:t>
            </w:r>
          </w:p>
          <w:p>
            <w:pPr>
              <w:spacing w:line="440" w:lineRule="exact"/>
              <w:rPr>
                <w:rFonts w:hint="eastAsia" w:ascii="宋体" w:hAnsi="Calibri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b w:val="0"/>
                <w:bCs w:val="0"/>
                <w:color w:val="auto"/>
                <w:sz w:val="24"/>
                <w:szCs w:val="24"/>
              </w:rPr>
              <w:t>②投标企业报价等于评标基准价C的得满分</w:t>
            </w:r>
            <w:r>
              <w:rPr>
                <w:rFonts w:hint="eastAsia" w:ascii="宋体" w:hAnsi="Calibri" w:eastAsia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70</w:t>
            </w:r>
            <w:r>
              <w:rPr>
                <w:rFonts w:hint="eastAsia" w:ascii="宋体" w:hAnsi="Calibri" w:eastAsia="宋体" w:cs="Times New Roman"/>
                <w:b w:val="0"/>
                <w:bCs w:val="0"/>
                <w:color w:val="auto"/>
                <w:sz w:val="24"/>
                <w:szCs w:val="24"/>
              </w:rPr>
              <w:t>分；投标企业报价与评标基准价C相比，每高于评标基准价1%扣</w:t>
            </w:r>
            <w:r>
              <w:rPr>
                <w:rFonts w:hint="eastAsia" w:ascii="宋体" w:hAnsi="Calibri" w:eastAsia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Calibri" w:eastAsia="宋体" w:cs="Times New Roman"/>
                <w:b w:val="0"/>
                <w:bCs w:val="0"/>
                <w:color w:val="auto"/>
                <w:sz w:val="24"/>
                <w:szCs w:val="24"/>
              </w:rPr>
              <w:t>分，每低于评标基准价1%扣</w:t>
            </w:r>
            <w:r>
              <w:rPr>
                <w:rFonts w:hint="eastAsia" w:ascii="宋体" w:hAnsi="Calibri" w:eastAsia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0.5</w:t>
            </w:r>
            <w:r>
              <w:rPr>
                <w:rFonts w:hint="eastAsia" w:ascii="宋体" w:hAnsi="Calibri" w:eastAsia="宋体" w:cs="Times New Roman"/>
                <w:b w:val="0"/>
                <w:bCs w:val="0"/>
                <w:color w:val="auto"/>
                <w:sz w:val="24"/>
                <w:szCs w:val="24"/>
              </w:rPr>
              <w:t>分，扣完为止。四舍五入计算得分（得分保留小数点后面两位，第三位四舍五入）。</w:t>
            </w:r>
          </w:p>
          <w:p>
            <w:pPr>
              <w:spacing w:line="440" w:lineRule="exact"/>
              <w:rPr>
                <w:rFonts w:hint="eastAsia" w:ascii="宋体" w:hAnsi="宋体" w:eastAsia="宋体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Calibri" w:eastAsia="宋体" w:cs="Times New Roman"/>
                <w:b w:val="0"/>
                <w:bCs w:val="0"/>
                <w:color w:val="auto"/>
                <w:sz w:val="24"/>
                <w:szCs w:val="24"/>
              </w:rPr>
              <w:t>注：有效报价为各投标企业满足</w:t>
            </w:r>
            <w:r>
              <w:rPr>
                <w:rFonts w:hint="eastAsia" w:ascii="宋体" w:hAnsi="Calibri" w:eastAsia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公开询价</w:t>
            </w:r>
            <w:r>
              <w:rPr>
                <w:rFonts w:hint="eastAsia" w:ascii="宋体" w:hAnsi="Calibri" w:eastAsia="宋体" w:cs="Times New Roman"/>
                <w:b w:val="0"/>
                <w:bCs w:val="0"/>
                <w:color w:val="auto"/>
                <w:sz w:val="24"/>
                <w:szCs w:val="24"/>
              </w:rPr>
              <w:t>文件要求的报价</w:t>
            </w:r>
            <w:r>
              <w:rPr>
                <w:rFonts w:hint="eastAsia" w:ascii="宋体" w:hAnsi="Calibri" w:eastAsia="宋体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Calibri" w:eastAsia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且不得高于最高限价</w:t>
            </w:r>
            <w:r>
              <w:rPr>
                <w:rFonts w:hint="eastAsia" w:ascii="宋体" w:hAnsi="Calibri" w:eastAsia="宋体" w:cs="Times New Roman"/>
                <w:b w:val="0"/>
                <w:bCs w:val="0"/>
                <w:color w:val="auto"/>
                <w:sz w:val="24"/>
                <w:szCs w:val="24"/>
              </w:rPr>
              <w:t>。</w:t>
            </w:r>
          </w:p>
        </w:tc>
        <w:tc>
          <w:tcPr>
            <w:tcW w:w="118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default" w:ascii="宋体" w:hAnsi="宋体" w:eastAsia="宋体" w:cs="宋体"/>
                <w:color w:val="auto"/>
              </w:rPr>
            </w:pPr>
          </w:p>
        </w:tc>
      </w:tr>
    </w:tbl>
    <w:p>
      <w:pPr>
        <w:rPr>
          <w:color w:val="auto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微软雅黑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both"/>
      <w:rPr>
        <w:rFonts w:ascii="Calibri" w:hAnsi="Calibri" w:eastAsia="宋体" w:cs="宋体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D91BAF"/>
    <w:rsid w:val="0D9D2E8E"/>
    <w:rsid w:val="734936EC"/>
    <w:rsid w:val="79D91B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before="120" w:after="120" w:line="540" w:lineRule="auto"/>
    </w:pPr>
    <w:rPr>
      <w:rFonts w:ascii="Times New Roman" w:hAnsi="Times New Roman" w:eastAsia="方正仿宋简体"/>
      <w:bCs/>
      <w:caps/>
      <w:sz w:val="32"/>
      <w:szCs w:val="30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2026-02-09T09:05:00Z</dcterms:created>
  <dc:creator>Administrator</dc:creator>
  <cp:lastModifiedBy>Administrator</cp:lastModifiedBy>
  <dcterms:modified xsi:type="dcterms:W3CDTF">2026-02-09T09:11:16Z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