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仿宋" w:hAnsi="仿宋" w:eastAsia="仿宋" w:cs="仿宋"/>
          <w:b/>
          <w:color w:val="auto"/>
          <w:sz w:val="4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48"/>
          <w:szCs w:val="28"/>
          <w:lang w:val="en-US" w:eastAsia="zh-CN"/>
        </w:rPr>
        <w:t>维修清单</w:t>
      </w:r>
    </w:p>
    <w:tbl>
      <w:tblPr>
        <w:tblStyle w:val="3"/>
        <w:tblpPr w:leftFromText="180" w:rightFromText="180" w:vertAnchor="text" w:horzAnchor="page" w:tblpXSpec="center" w:tblpY="241"/>
        <w:tblOverlap w:val="never"/>
        <w:tblW w:w="9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13"/>
        <w:gridCol w:w="4847"/>
        <w:gridCol w:w="750"/>
        <w:gridCol w:w="720"/>
        <w:gridCol w:w="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4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主要参数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PLC CPU模块维修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GE CPE310 CPU模块主板维修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PLC电源模块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电源模块 IC695PSD040；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核心电气参数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输入：24VDC标称，启动18–30VDC，运行12–30VDC；输入功率60W，负载能力40W。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输出：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5.1VDC：5.0–5.25VDC，最大电流6A，功率约30W。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3.3VDC：3.2–3.465VDC，最大电流9A，功率约30W。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纹波噪声≤50mV，浪涌电流4A/100ms。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保护：过流、过压、短路、过热保护，带LED状态指示。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物理与环境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尺寸：140mm(高)×124mm(深)×25.4mm(宽)。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温度：工作-25℃至70℃，存储-40℃至85℃。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湿度：5%–95%非凝结，防护等级IP20。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安装：通用背板，左侧电源位，配端子接受14–18AWG线。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超级电容模块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超级电容模块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IC695ACC400-AA；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核心功能：电源故障时提供临时供电，支持CPU将用户数据写入非易失性存储器。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供电与充电：由RX3i 24VDC电源轨供电，正常上电时自动充电。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物理尺寸：140mm(高)×124mm(深)×25.4mm(宽)，安装于模块左侧，不占背板插槽。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环境与寿命：工作温度0-50℃（寿命&gt;10年），60℃时寿命约4.5年。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重量：约1kg。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Calibri" w:hAnsi="Calibri" w:eastAsia="宋体" w:cs="宋体"/>
          <w:color w:val="auto"/>
        </w:rPr>
      </w:pPr>
    </w:p>
    <w:p>
      <w:pPr>
        <w:rPr>
          <w:rFonts w:ascii="Calibri" w:hAnsi="Calibri" w:eastAsia="宋体" w:cs="宋体"/>
          <w:color w:val="auto"/>
        </w:rPr>
      </w:pPr>
    </w:p>
    <w:p>
      <w:pPr>
        <w:rPr>
          <w:rFonts w:ascii="Calibri" w:hAnsi="Calibri" w:eastAsia="宋体" w:cs="宋体"/>
          <w:color w:val="auto"/>
        </w:rPr>
      </w:pPr>
    </w:p>
    <w:p>
      <w:pPr>
        <w:rPr>
          <w:rFonts w:ascii="Calibri" w:hAnsi="Calibri" w:eastAsia="宋体" w:cs="宋体"/>
          <w:color w:val="auto"/>
        </w:rPr>
      </w:pPr>
    </w:p>
    <w:p>
      <w:pPr>
        <w:rPr>
          <w:rFonts w:ascii="Calibri" w:hAnsi="Calibri" w:eastAsia="宋体" w:cs="宋体"/>
          <w:color w:val="auto"/>
        </w:rPr>
      </w:pPr>
    </w:p>
    <w:p>
      <w:pPr>
        <w:rPr>
          <w:rFonts w:ascii="Calibri" w:hAnsi="Calibri" w:eastAsia="宋体" w:cs="宋体"/>
          <w:color w:val="auto"/>
        </w:rPr>
      </w:pPr>
    </w:p>
    <w:p>
      <w:pPr>
        <w:rPr>
          <w:rFonts w:ascii="Calibri" w:hAnsi="Calibri" w:eastAsia="宋体" w:cs="宋体"/>
          <w:color w:val="auto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color w:val="auto"/>
          <w:sz w:val="48"/>
          <w:szCs w:val="28"/>
        </w:rPr>
      </w:pPr>
      <w:r>
        <w:rPr>
          <w:rFonts w:hint="eastAsia" w:ascii="仿宋" w:hAnsi="仿宋" w:eastAsia="仿宋" w:cs="仿宋"/>
          <w:b/>
          <w:color w:val="auto"/>
          <w:sz w:val="48"/>
          <w:szCs w:val="28"/>
        </w:rPr>
        <w:t>报价函</w:t>
      </w:r>
    </w:p>
    <w:p>
      <w:pPr>
        <w:spacing w:line="360" w:lineRule="auto"/>
        <w:ind w:right="28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u w:val="single"/>
          <w:lang w:val="en-US" w:eastAsia="zh-CN"/>
        </w:rPr>
        <w:t>宿州市淮水北调管理中心</w:t>
      </w:r>
      <w:r>
        <w:rPr>
          <w:rFonts w:hint="eastAsia" w:ascii="仿宋" w:hAnsi="仿宋" w:eastAsia="仿宋" w:cs="仿宋"/>
          <w:color w:val="auto"/>
          <w:sz w:val="24"/>
        </w:rPr>
        <w:t>：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我公司在收到贵单位发出的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公开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询价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24"/>
        </w:rPr>
        <w:t>后，经研究，对贵单位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</w:rPr>
        <w:t>做如下报价：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</w:p>
    <w:tbl>
      <w:tblPr>
        <w:tblStyle w:val="4"/>
        <w:tblW w:w="5160" w:type="pct"/>
        <w:tblInd w:w="-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418"/>
        <w:gridCol w:w="1308"/>
        <w:gridCol w:w="1246"/>
        <w:gridCol w:w="6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94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报价（元）</w:t>
            </w:r>
          </w:p>
        </w:tc>
        <w:tc>
          <w:tcPr>
            <w:tcW w:w="1170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4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完全响应服务要求（附件）内容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4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完全响应服务要求（附件）内容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4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完全响应服务要求（附件）内容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170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00" w:type="pct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注：本项目报价包含完成项目工作的所有内容。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ind w:left="0" w:firstLine="48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注：1、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投标总报价应包括投标产品以及其产生的采购、运输、人工、安装、售后（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/>
        </w:rPr>
        <w:t>新采购的设备质保期一年，维修的设备保修期半年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）、税费等所有费用，即为履行合同的最终价格。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报价单位名称：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（盖单位公章）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（签字或盖章）</w:t>
      </w:r>
    </w:p>
    <w:p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page"/>
      </w:r>
    </w:p>
    <w:p>
      <w:pP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声明函（附件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）：</w:t>
      </w:r>
    </w:p>
    <w:p>
      <w:pPr>
        <w:spacing w:before="179" w:line="219" w:lineRule="auto"/>
        <w:jc w:val="center"/>
        <w:rPr>
          <w:rFonts w:ascii="仿宋" w:hAnsi="仿宋" w:eastAsia="仿宋" w:cs="仿宋"/>
          <w:b/>
          <w:bCs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shd w:val="clear" w:color="auto" w:fill="FFFFFF"/>
        </w:rPr>
        <w:t>声明函</w:t>
      </w:r>
    </w:p>
    <w:p>
      <w:pPr>
        <w:spacing w:line="360" w:lineRule="auto"/>
        <w:ind w:left="1843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«政府采购法»第二十二条规定声明函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根据《财政部关于促进政府采购公平竞争优化营商环境的通知》</w:t>
      </w: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ascii="宋体" w:hAnsi="宋体" w:eastAsia="宋体" w:cs="宋体"/>
          <w:color w:val="auto"/>
          <w:sz w:val="24"/>
        </w:rPr>
        <w:t>财库〔2019〕38号</w:t>
      </w:r>
      <w:r>
        <w:rPr>
          <w:rFonts w:hint="eastAsia" w:ascii="宋体" w:hAnsi="宋体" w:eastAsia="宋体" w:cs="宋体"/>
          <w:color w:val="auto"/>
          <w:sz w:val="24"/>
        </w:rPr>
        <w:t>）</w:t>
      </w:r>
      <w:r>
        <w:rPr>
          <w:rFonts w:ascii="宋体" w:hAnsi="宋体" w:eastAsia="宋体" w:cs="宋体"/>
          <w:color w:val="auto"/>
          <w:sz w:val="24"/>
        </w:rPr>
        <w:t>的规定，本公司郑重声明,本公司同时满足以下条件：</w:t>
      </w:r>
    </w:p>
    <w:p>
      <w:pPr>
        <w:spacing w:line="360" w:lineRule="auto"/>
        <w:ind w:left="578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position w:val="29"/>
          <w:sz w:val="24"/>
        </w:rPr>
        <w:t>1.符合《中华人民共和国政府采购法》第二十二条规定。</w:t>
      </w:r>
    </w:p>
    <w:p>
      <w:pPr>
        <w:spacing w:line="360" w:lineRule="auto"/>
        <w:ind w:left="563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2.本公司参加本项目采购活动由本企业提供服务。</w:t>
      </w:r>
    </w:p>
    <w:p>
      <w:pPr>
        <w:spacing w:line="360" w:lineRule="auto"/>
        <w:ind w:left="602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本公司对上述声明的真实性负责。如有虚假，将依法承担相应责任。</w:t>
      </w:r>
    </w:p>
    <w:p>
      <w:pPr>
        <w:spacing w:line="360" w:lineRule="auto"/>
        <w:rPr>
          <w:rFonts w:ascii="Calibri" w:hAnsi="Calibri" w:eastAsia="宋体" w:cs="宋体"/>
          <w:color w:val="auto"/>
        </w:rPr>
      </w:pPr>
    </w:p>
    <w:p>
      <w:pPr>
        <w:spacing w:line="360" w:lineRule="auto"/>
        <w:rPr>
          <w:rFonts w:ascii="Calibri" w:hAnsi="Calibri" w:eastAsia="宋体" w:cs="宋体"/>
          <w:color w:val="auto"/>
        </w:rPr>
      </w:pPr>
    </w:p>
    <w:p>
      <w:pPr>
        <w:spacing w:line="360" w:lineRule="auto"/>
        <w:rPr>
          <w:rFonts w:ascii="Calibri" w:hAnsi="Calibri" w:eastAsia="宋体" w:cs="宋体"/>
          <w:color w:val="auto"/>
        </w:rPr>
      </w:pPr>
    </w:p>
    <w:p>
      <w:pPr>
        <w:spacing w:line="360" w:lineRule="auto"/>
        <w:rPr>
          <w:rFonts w:ascii="Calibri" w:hAnsi="Calibri" w:eastAsia="宋体" w:cs="宋体"/>
          <w:color w:val="auto"/>
        </w:rPr>
      </w:pPr>
    </w:p>
    <w:p>
      <w:pPr>
        <w:spacing w:line="360" w:lineRule="auto"/>
        <w:ind w:left="423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报价单位盖章：</w:t>
      </w:r>
    </w:p>
    <w:p>
      <w:pPr>
        <w:spacing w:line="360" w:lineRule="auto"/>
        <w:ind w:left="4296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日期：</w:t>
      </w:r>
    </w:p>
    <w:p>
      <w:pPr>
        <w:spacing w:line="282" w:lineRule="auto"/>
        <w:rPr>
          <w:rFonts w:ascii="Calibri" w:hAnsi="Calibri" w:eastAsia="宋体" w:cs="宋体"/>
          <w:color w:val="auto"/>
        </w:rPr>
      </w:pPr>
    </w:p>
    <w:p>
      <w:pPr>
        <w:spacing w:line="283" w:lineRule="auto"/>
        <w:rPr>
          <w:rFonts w:ascii="Calibri" w:hAnsi="Calibri" w:eastAsia="宋体" w:cs="宋体"/>
          <w:color w:val="auto"/>
        </w:rPr>
      </w:pPr>
    </w:p>
    <w:p>
      <w:pPr>
        <w:rPr>
          <w:rFonts w:ascii="Calibri" w:hAnsi="Calibri" w:eastAsia="宋体" w:cs="宋体"/>
          <w:color w:val="auto"/>
          <w:sz w:val="24"/>
        </w:rPr>
      </w:pPr>
      <w:r>
        <w:rPr>
          <w:rFonts w:hint="eastAsia" w:ascii="Calibri" w:hAnsi="Calibri" w:eastAsia="宋体" w:cs="宋体"/>
          <w:color w:val="auto"/>
          <w:sz w:val="24"/>
        </w:rPr>
        <w:br w:type="page"/>
      </w:r>
    </w:p>
    <w:p>
      <w:pPr>
        <w:spacing w:line="360" w:lineRule="auto"/>
        <w:jc w:val="center"/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无重大违法记录声明函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本公司郑重声明，根据《中华人民共和国政府采购法》及《中华人民共和国政府采购法实施条例》的规定，参加政府采购活动前三年内，本公司在经营活动中没有重大违法记录，没有因违法经营受到刑事处罚或者责令停产停业、吊销许可证或者执照、较大数额罚款等行政处罚。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本公司对上述声明的真实性负责。如有虚假，将依法承担相应责任。</w:t>
      </w:r>
    </w:p>
    <w:p>
      <w:pPr>
        <w:spacing w:line="360" w:lineRule="auto"/>
        <w:rPr>
          <w:rFonts w:ascii="Calibri" w:hAnsi="Calibri" w:eastAsia="宋体" w:cs="宋体"/>
          <w:color w:val="auto"/>
        </w:rPr>
      </w:pPr>
    </w:p>
    <w:p>
      <w:pPr>
        <w:spacing w:line="360" w:lineRule="auto"/>
        <w:ind w:left="423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报价单位盖章：</w:t>
      </w:r>
    </w:p>
    <w:p>
      <w:pPr>
        <w:spacing w:line="360" w:lineRule="auto"/>
        <w:ind w:left="4296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日期：</w:t>
      </w:r>
    </w:p>
    <w:p>
      <w:pPr>
        <w:spacing w:line="360" w:lineRule="auto"/>
        <w:rPr>
          <w:rFonts w:ascii="Calibri" w:hAnsi="Calibri" w:eastAsia="宋体" w:cs="宋体"/>
          <w:color w:val="auto"/>
        </w:rPr>
      </w:pPr>
    </w:p>
    <w:p>
      <w:pPr>
        <w:spacing w:line="360" w:lineRule="auto"/>
        <w:rPr>
          <w:rFonts w:ascii="Calibri" w:hAnsi="Calibri" w:eastAsia="宋体" w:cs="宋体"/>
          <w:color w:val="auto"/>
        </w:rPr>
      </w:pPr>
    </w:p>
    <w:p>
      <w:pPr>
        <w:spacing w:line="360" w:lineRule="auto"/>
        <w:jc w:val="center"/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无不良信用记录声明函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本公司郑重声明，我公司无以下不良信用记录情形：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1、公司被人民法院列入失信被执行人；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2、公司、法定代表人或拟派项目经理</w:t>
      </w: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ascii="宋体" w:hAnsi="宋体" w:eastAsia="宋体" w:cs="宋体"/>
          <w:color w:val="auto"/>
          <w:sz w:val="24"/>
        </w:rPr>
        <w:t>项目负责人</w:t>
      </w:r>
      <w:r>
        <w:rPr>
          <w:rFonts w:hint="eastAsia" w:ascii="宋体" w:hAnsi="宋体" w:eastAsia="宋体" w:cs="宋体"/>
          <w:color w:val="auto"/>
          <w:sz w:val="24"/>
        </w:rPr>
        <w:t>）</w:t>
      </w:r>
      <w:r>
        <w:rPr>
          <w:rFonts w:ascii="宋体" w:hAnsi="宋体" w:eastAsia="宋体" w:cs="宋体"/>
          <w:color w:val="auto"/>
          <w:sz w:val="24"/>
        </w:rPr>
        <w:t>被人民检察院列入行贿犯罪档案；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3、公司被工商行政管理部门列入企业经营异常名录；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4、公司被税务部门列入重大税收违法案件当事人名单；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5、公司被政府采购监管部门列入政府采购严重违法失信行为记录名单。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我公司已就上述不良信用行为按照</w:t>
      </w:r>
      <w:r>
        <w:rPr>
          <w:rFonts w:hint="eastAsia" w:ascii="宋体" w:hAnsi="宋体" w:eastAsia="宋体" w:cs="宋体"/>
          <w:color w:val="auto"/>
          <w:sz w:val="24"/>
        </w:rPr>
        <w:t>询价函</w:t>
      </w:r>
      <w:r>
        <w:rPr>
          <w:rFonts w:ascii="宋体" w:hAnsi="宋体" w:eastAsia="宋体" w:cs="宋体"/>
          <w:color w:val="auto"/>
          <w:sz w:val="24"/>
        </w:rPr>
        <w:t>规定进行了查询。我公司承诺：合同签订前，若我公司具有不良信用记录情形，贵方可取消我公司</w:t>
      </w:r>
      <w:r>
        <w:rPr>
          <w:rFonts w:hint="eastAsia" w:ascii="宋体" w:hAnsi="宋体" w:eastAsia="宋体" w:cs="宋体"/>
          <w:color w:val="auto"/>
          <w:sz w:val="24"/>
        </w:rPr>
        <w:t>成交</w:t>
      </w:r>
      <w:r>
        <w:rPr>
          <w:rFonts w:ascii="宋体" w:hAnsi="宋体" w:eastAsia="宋体" w:cs="宋体"/>
          <w:color w:val="auto"/>
          <w:sz w:val="24"/>
        </w:rPr>
        <w:t>资格或者不授予合同，所有责任由我公司自行承担。同时，我公司愿意无条件接受监管部门的调查处理。</w:t>
      </w:r>
    </w:p>
    <w:p>
      <w:pPr>
        <w:spacing w:line="360" w:lineRule="auto"/>
        <w:ind w:left="4230"/>
        <w:rPr>
          <w:rFonts w:ascii="宋体" w:hAnsi="宋体" w:eastAsia="宋体" w:cs="宋体"/>
          <w:color w:val="auto"/>
          <w:sz w:val="24"/>
        </w:rPr>
      </w:pPr>
    </w:p>
    <w:p>
      <w:pPr>
        <w:spacing w:line="360" w:lineRule="auto"/>
        <w:ind w:left="423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报价单位盖章：</w:t>
      </w:r>
    </w:p>
    <w:p>
      <w:pPr>
        <w:spacing w:line="360" w:lineRule="auto"/>
        <w:ind w:left="4296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日期：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48"/>
          <w:szCs w:val="28"/>
          <w:lang w:val="en-US" w:eastAsia="zh-CN"/>
        </w:rPr>
      </w:pPr>
    </w:p>
    <w:p>
      <w:pPr>
        <w:widowControl w:val="0"/>
        <w:spacing w:after="120" w:line="240" w:lineRule="auto"/>
        <w:ind w:left="0" w:leftChars="0" w:firstLine="0" w:firstLineChars="0"/>
        <w:jc w:val="both"/>
        <w:rPr>
          <w:rFonts w:hint="default" w:ascii="楷体_GB2312" w:hAnsi="Times New Roman" w:eastAsia="楷体_GB2312" w:cs="宋体"/>
          <w:color w:val="auto"/>
          <w:kern w:val="2"/>
          <w:sz w:val="32"/>
          <w:szCs w:val="20"/>
          <w:lang w:val="en-US" w:eastAsia="zh-CN" w:bidi="ar-SA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评分办法（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3）</w:t>
      </w:r>
    </w:p>
    <w:p>
      <w:pPr>
        <w:jc w:val="center"/>
        <w:rPr>
          <w:rFonts w:hint="eastAsia" w:ascii="仿宋" w:hAnsi="仿宋" w:eastAsia="仿宋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6"/>
          <w:szCs w:val="36"/>
        </w:rPr>
        <w:t>评 分 办 法</w:t>
      </w:r>
    </w:p>
    <w:tbl>
      <w:tblPr>
        <w:tblStyle w:val="3"/>
        <w:tblW w:w="8659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40"/>
        <w:gridCol w:w="514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评审项目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105" w:firstLineChars="50"/>
              <w:jc w:val="center"/>
              <w:rPr>
                <w:rFonts w:hint="default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分值</w:t>
            </w:r>
          </w:p>
        </w:tc>
        <w:tc>
          <w:tcPr>
            <w:tcW w:w="51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1890" w:firstLineChars="900"/>
              <w:jc w:val="both"/>
              <w:rPr>
                <w:rFonts w:hint="default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评审内容及标准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57"/>
              </w:tabs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highlight w:val="none"/>
                <w:lang w:val="en-US" w:eastAsia="zh-CN"/>
              </w:rPr>
              <w:t>技术分</w:t>
            </w: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30分</w:t>
            </w:r>
          </w:p>
        </w:tc>
        <w:tc>
          <w:tcPr>
            <w:tcW w:w="51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lang w:val="en-US" w:eastAsia="zh-CN"/>
              </w:rPr>
              <w:t>在满足资格要求业绩的情况下，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</w:rPr>
              <w:t>投标供应商2022年1月1日至今（以签订合同日期为准）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lang w:val="en-US" w:eastAsia="zh-CN"/>
              </w:rPr>
              <w:t>每多提供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</w:rPr>
              <w:t>1个类似维修或安装业绩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lang w:val="en-US" w:eastAsia="zh-CN"/>
              </w:rPr>
              <w:t>的得10分，本项最高得30分。</w:t>
            </w:r>
          </w:p>
          <w:p>
            <w:pPr>
              <w:spacing w:line="440" w:lineRule="exact"/>
              <w:rPr>
                <w:rFonts w:hint="eastAsia" w:ascii="宋体" w:hAnsi="宋体" w:eastAsia="宋体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lang w:val="en-US" w:eastAsia="zh-CN"/>
              </w:rPr>
              <w:t>注：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</w:rPr>
              <w:t>须提供业绩合同扫描件并加盖单位公章。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highlight w:val="none"/>
                <w:lang w:val="en-US" w:eastAsia="zh-CN"/>
              </w:rPr>
              <w:t>70分</w:t>
            </w:r>
          </w:p>
        </w:tc>
        <w:tc>
          <w:tcPr>
            <w:tcW w:w="51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spacing w:line="440" w:lineRule="exact"/>
              <w:rPr>
                <w:rFonts w:ascii="宋体" w:hAnsi="Calibri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</w:rPr>
              <w:t>①评标基准价C值的确定：</w:t>
            </w:r>
          </w:p>
          <w:p>
            <w:pPr>
              <w:spacing w:line="440" w:lineRule="exact"/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</w:rPr>
              <w:t>C值为各投标企业有效报价的算术平均值</w:t>
            </w:r>
          </w:p>
          <w:p>
            <w:pPr>
              <w:spacing w:line="440" w:lineRule="exact"/>
              <w:rPr>
                <w:rFonts w:ascii="宋体" w:hAnsi="Calibri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</w:rPr>
              <w:t>②投标企业报价等于评标基准价C的得满分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lang w:val="en-US" w:eastAsia="zh-CN"/>
              </w:rPr>
              <w:t>70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</w:rPr>
              <w:t>分；投标企业报价与评标基准价C相比，每高于评标基准价1%扣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</w:rPr>
              <w:t>分，每低于评标基准价1%扣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lang w:val="en-US" w:eastAsia="zh-CN"/>
              </w:rPr>
              <w:t>0.5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</w:rPr>
              <w:t>分，扣完为止。四舍五入计算得分（得分保留小数点后面两位，第三位四舍五入）。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 w:firstLine="360" w:firstLineChars="150"/>
              <w:rPr>
                <w:rFonts w:hint="eastAsia" w:ascii="宋体" w:hAnsi="宋体" w:eastAsia="宋体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</w:rPr>
              <w:t>注：有效报价为各投标企业满足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lang w:val="en-US" w:eastAsia="zh-CN"/>
              </w:rPr>
              <w:t>公开询价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</w:rPr>
              <w:t>文件要求的报价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lang w:val="en-US" w:eastAsia="zh-CN"/>
              </w:rPr>
              <w:t>且不得高于最高限价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</w:rPr>
              <w:t>。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 w:eastAsia="宋体" w:cs="宋体"/>
                <w:color w:val="auto"/>
              </w:rPr>
            </w:pPr>
          </w:p>
        </w:tc>
      </w:tr>
    </w:tbl>
    <w:p>
      <w:pPr>
        <w:rPr>
          <w:rFonts w:ascii="Calibri" w:hAnsi="Calibri" w:eastAsia="宋体" w:cs="宋体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both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A5F58"/>
    <w:rsid w:val="682A5F58"/>
    <w:rsid w:val="73493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spacing w:before="120" w:after="120" w:line="540" w:lineRule="auto"/>
    </w:pPr>
    <w:rPr>
      <w:rFonts w:ascii="Times New Roman" w:hAnsi="Times New Roman" w:eastAsia="方正仿宋简体"/>
      <w:bCs/>
      <w:caps/>
      <w:sz w:val="32"/>
      <w:szCs w:val="30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2026-01-12T09:36:00Z</dcterms:created>
  <dc:creator>Administrator</dc:creator>
  <cp:lastModifiedBy>Administrator</cp:lastModifiedBy>
  <dcterms:modified xsi:type="dcterms:W3CDTF">2026-01-12T09:37:27Z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