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《宿州市生产建设项目水土保持市场主体行为规范（征求意见稿）》起草说明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为加强宿州市生产建设项目水土保持管理，规范市场主体行为，落实水土保持法定义务，预防人为水土流失，市水利局组织起草了《宿州市生产建设项目水土保持市场主体行为规范（征求意见稿）》（以下简称《规范》）。现将有关起草情况说明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一、起草背景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近年来，随着宿州市经济社会的快速发展，各类生产建设项目数量不断增加，在带动区域发展的同时，项目建设过程中不可避免地存在地表扰动、植被损毁等情况，需通过科学管控防范人为水土流失风险，保障区域生态环境稳定。当前，国家及省级层面已出台水土保持相关法律法规，为工作开展提供了基础遵循，但结合宿州市项目管理实际，市场主体行为监管仍需更具针对性的细化规范，以提升水土保持工作的系统性和实效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为进一步明晰各市场主体水土保持责任，完善监管体系，提升服务与管理效能，推动生态保护与生产建设良性互动、协调发展，市水利局立足本地实际，组织起草本《规范》，旨在通过明确各类市场主体的行为准则、责任义务及奖惩措施，构建权责清晰、监管有序、共治共享的水土保持管理格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二、起草依据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本《规范》的起草严格遵循相关法律法规、规章及技术标准，主要依据包括：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1.《中华人民共和国水土保持法》；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2.《安徽省实施〈中华人民共和国水土保持法〉办法》；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3.《生产建设项目水土保持方案管理办法》（水利部令第53号）；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4.《水利部办公厅关于实施生产建设项目水土保持信用监管“两单”制度的通知》（办水保</w:t>
      </w:r>
      <w:r>
        <w:rPr>
          <w:rFonts w:hint="eastAsia" w:ascii="宋体" w:hAnsi="宋体" w:eastAsia="宋体" w:cs="宋体"/>
          <w:kern w:val="0"/>
          <w:sz w:val="32"/>
          <w:szCs w:val="32"/>
          <w:lang w:val="en-US" w:eastAsia="zh-CN" w:bidi="ar"/>
        </w:rPr>
        <w:t>〔</w:t>
      </w:r>
      <w:r>
        <w:rPr>
          <w:rFonts w:hint="eastAsia" w:ascii="方正仿宋_GBK" w:hAnsi="方正仿宋_GBK" w:eastAsia="方正仿宋_GBK" w:cs="方正仿宋_GBK"/>
          <w:kern w:val="0"/>
          <w:sz w:val="32"/>
          <w:szCs w:val="32"/>
          <w:lang w:val="en-US" w:eastAsia="zh-CN" w:bidi="ar"/>
        </w:rPr>
        <w:t>2020</w:t>
      </w:r>
      <w:r>
        <w:rPr>
          <w:rFonts w:hint="eastAsia" w:ascii="宋体" w:hAnsi="宋体" w:eastAsia="宋体" w:cs="宋体"/>
          <w:kern w:val="0"/>
          <w:sz w:val="32"/>
          <w:szCs w:val="32"/>
          <w:lang w:val="en-US" w:eastAsia="zh-CN" w:bidi="ar"/>
        </w:rPr>
        <w:t>〕</w:t>
      </w:r>
      <w:r>
        <w:rPr>
          <w:rFonts w:hint="eastAsia" w:ascii="方正仿宋_GBK" w:hAnsi="方正仿宋_GBK" w:eastAsia="方正仿宋_GBK" w:cs="方正仿宋_GBK"/>
          <w:kern w:val="0"/>
          <w:sz w:val="32"/>
          <w:szCs w:val="32"/>
          <w:lang w:val="en-US" w:eastAsia="zh-CN" w:bidi="ar"/>
        </w:rPr>
        <w:t>157号）；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5.《生产建设项目水土保持全链条全过程监管工作流程》；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6.《生产建设项目水土保持技术标准》（GB 50433-2018）。</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三、起草过程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2025年8月至10月，市水利局结合生产建设项目水土保持日常监管情况，通过</w:t>
      </w:r>
      <w:r>
        <w:rPr>
          <w:rFonts w:hint="eastAsia" w:ascii="方正仿宋_GBK" w:hAnsi="方正仿宋_GBK" w:eastAsia="方正仿宋_GBK" w:cs="方正仿宋_GBK"/>
          <w:kern w:val="0"/>
          <w:sz w:val="32"/>
          <w:szCs w:val="32"/>
          <w:lang w:val="en-US" w:eastAsia="zh-CN" w:bidi="ar"/>
        </w:rPr>
        <w:t>现场走访、</w:t>
      </w:r>
      <w:r>
        <w:rPr>
          <w:rFonts w:hint="eastAsia" w:ascii="方正仿宋_GBK" w:hAnsi="方正仿宋_GBK" w:eastAsia="方正仿宋_GBK" w:cs="方正仿宋_GBK"/>
          <w:kern w:val="0"/>
          <w:sz w:val="32"/>
          <w:szCs w:val="32"/>
          <w:lang w:val="en-US" w:eastAsia="zh-CN" w:bidi="ar"/>
        </w:rPr>
        <w:t>座谈交流等方式，了解各县（区）水利部门、生产建设单位、技术服务单位及施工单位在水土保持工作中的实践经验与诉求。2025年11月，结合国家及省级相关规定，明确《规范》的框架结构和核心内容，重点围绕生产建设单位、技术服务单位、施工单位等各类市场主体的行为规范，细化责任要求，强化监管措施，并进行内部审核，从合法性、科学性、可操作性等方面进行多次修改完善，于2025年12月9日形成《规范（征求意见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四、主要内容说明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lang w:val="en-US" w:eastAsia="zh-CN" w:bidi="ar"/>
        </w:rPr>
        <w:t>《规范》共七章，分别为总则、生产建设单位行为规范、技术服务单位行为规范、施工单位行为规范、监督管理、奖惩机制、附则，主要内容如下：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第一章为</w:t>
      </w:r>
      <w:r>
        <w:rPr>
          <w:rFonts w:hint="eastAsia" w:ascii="方正仿宋_GBK" w:hAnsi="方正仿宋_GBK" w:eastAsia="方正仿宋_GBK" w:cs="方正仿宋_GBK"/>
          <w:b w:val="0"/>
          <w:bCs w:val="0"/>
          <w:sz w:val="32"/>
          <w:szCs w:val="32"/>
        </w:rPr>
        <w:t>总则部分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kern w:val="0"/>
          <w:sz w:val="32"/>
          <w:szCs w:val="32"/>
          <w:lang w:val="en-US" w:eastAsia="zh-CN" w:bidi="ar"/>
        </w:rPr>
        <w:t>明确《规范》的制定目的、依据、适用范围及基本原则。适用范围涵盖宿州市行政区域内参与生产建设项目水土保持相关活动的生产建设单位、技术服务单位、施工单位等各类市场主体；基本原则包括合法合规、生态优先、诚信履约、协同监管，为各类市场主体开展相关活动提供总体遵循。</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sz w:val="32"/>
          <w:szCs w:val="32"/>
          <w:lang w:val="en-US" w:eastAsia="zh-CN"/>
        </w:rPr>
        <w:t>第二、三、四章为</w:t>
      </w:r>
      <w:r>
        <w:rPr>
          <w:rFonts w:hint="eastAsia" w:ascii="方正仿宋_GBK" w:hAnsi="方正仿宋_GBK" w:eastAsia="方正仿宋_GBK" w:cs="方正仿宋_GBK"/>
          <w:b w:val="0"/>
          <w:bCs w:val="0"/>
          <w:sz w:val="32"/>
          <w:szCs w:val="32"/>
        </w:rPr>
        <w:t>市场主体行为规范部分</w:t>
      </w:r>
      <w:r>
        <w:rPr>
          <w:rFonts w:hint="eastAsia" w:ascii="方正仿宋_GBK" w:hAnsi="方正仿宋_GBK" w:eastAsia="方正仿宋_GBK" w:cs="方正仿宋_GBK"/>
          <w:b w:val="0"/>
          <w:bCs w:val="0"/>
          <w:kern w:val="0"/>
          <w:sz w:val="32"/>
          <w:szCs w:val="32"/>
          <w:lang w:val="en-US" w:eastAsia="zh-CN" w:bidi="ar"/>
        </w:rPr>
        <w:t>，针对不同市场主体的职责特点，分别明确其行为要求：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kern w:val="0"/>
          <w:sz w:val="32"/>
          <w:szCs w:val="32"/>
          <w:lang w:val="en-US" w:eastAsia="zh-CN" w:bidi="ar"/>
        </w:rPr>
        <w:t>1.生产建设单位</w:t>
      </w:r>
      <w:r>
        <w:rPr>
          <w:rFonts w:hint="eastAsia" w:ascii="方正仿宋_GBK" w:hAnsi="方正仿宋_GBK" w:eastAsia="方正仿宋_GBK" w:cs="方正仿宋_GBK"/>
          <w:b w:val="0"/>
          <w:bCs w:val="0"/>
          <w:kern w:val="0"/>
          <w:sz w:val="32"/>
          <w:szCs w:val="32"/>
          <w:lang w:val="en-US" w:eastAsia="zh-CN" w:bidi="ar"/>
        </w:rPr>
        <w:t>：作为水土流失防治的责任主体，从前期准备（方案报批、补偿费缴纳）、建设实施（方案执行与变更、“三同时”制度落实、土石方管理、措施落实）、验收与后期管护（自主验收、后期管护、资料归档）三个阶段细化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b w:val="0"/>
          <w:bCs w:val="0"/>
          <w:kern w:val="0"/>
          <w:sz w:val="32"/>
          <w:szCs w:val="32"/>
          <w:lang w:val="en-US" w:eastAsia="zh-CN" w:bidi="ar"/>
        </w:rPr>
      </w:pPr>
      <w:r>
        <w:rPr>
          <w:rStyle w:val="7"/>
          <w:rFonts w:hint="eastAsia" w:ascii="方正仿宋_GBK" w:hAnsi="方正仿宋_GBK" w:eastAsia="方正仿宋_GBK" w:cs="方正仿宋_GBK"/>
          <w:b w:val="0"/>
          <w:bCs w:val="0"/>
          <w:kern w:val="0"/>
          <w:sz w:val="32"/>
          <w:szCs w:val="32"/>
          <w:lang w:val="en-US" w:eastAsia="zh-CN" w:bidi="ar"/>
        </w:rPr>
        <w:t>2.技术服务单位</w:t>
      </w:r>
      <w:r>
        <w:rPr>
          <w:rFonts w:hint="eastAsia" w:ascii="方正仿宋_GBK" w:hAnsi="方正仿宋_GBK" w:eastAsia="方正仿宋_GBK" w:cs="方正仿宋_GBK"/>
          <w:b w:val="0"/>
          <w:bCs w:val="0"/>
          <w:kern w:val="0"/>
          <w:sz w:val="32"/>
          <w:szCs w:val="32"/>
          <w:lang w:val="en-US" w:eastAsia="zh-CN" w:bidi="ar"/>
        </w:rPr>
        <w:t>：涵盖方案编制、监测、监理、技术评审、验收报告编制五类单位，明确技术要求、工作流程及禁止性规定。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kern w:val="0"/>
          <w:sz w:val="32"/>
          <w:szCs w:val="32"/>
          <w:lang w:val="en-US" w:eastAsia="zh-CN" w:bidi="ar"/>
        </w:rPr>
        <w:t>3.施工单位</w:t>
      </w:r>
      <w:r>
        <w:rPr>
          <w:rFonts w:hint="eastAsia" w:ascii="方正仿宋_GBK" w:hAnsi="方正仿宋_GBK" w:eastAsia="方正仿宋_GBK" w:cs="方正仿宋_GBK"/>
          <w:b w:val="0"/>
          <w:bCs w:val="0"/>
          <w:kern w:val="0"/>
          <w:sz w:val="32"/>
          <w:szCs w:val="32"/>
          <w:lang w:val="en-US" w:eastAsia="zh-CN" w:bidi="ar"/>
        </w:rPr>
        <w:t>：从施工准备（合同签订、施工组织设计）、施工过程（措施落实、临时防护、弃渣管理）、完工与移交（场地清理、资料提交）三个环节规范行为，落实“绿色施工”要求，严禁超范围扰动、随意倾倒弃渣等违规行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第五章是</w:t>
      </w:r>
      <w:r>
        <w:rPr>
          <w:rFonts w:hint="eastAsia" w:ascii="方正仿宋_GBK" w:hAnsi="方正仿宋_GBK" w:eastAsia="方正仿宋_GBK" w:cs="方正仿宋_GBK"/>
          <w:b w:val="0"/>
          <w:bCs w:val="0"/>
          <w:sz w:val="32"/>
          <w:szCs w:val="32"/>
        </w:rPr>
        <w:t>监督管理部分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kern w:val="0"/>
          <w:sz w:val="32"/>
          <w:szCs w:val="32"/>
          <w:lang w:val="en-US" w:eastAsia="zh-CN" w:bidi="ar"/>
        </w:rPr>
        <w:t>明确市、县（区）水利部门的监管职责分工，强调部门协同联动；提出“双随机、一公开”监管、信用监管等多种监管方式，推广无人机巡查、卫星遥感监测等技术手段，提升监管精准度；畅通监督渠道，接受社会公众监督，构建多方共治体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第六章是</w:t>
      </w:r>
      <w:r>
        <w:rPr>
          <w:rFonts w:hint="eastAsia" w:ascii="方正仿宋_GBK" w:hAnsi="方正仿宋_GBK" w:eastAsia="方正仿宋_GBK" w:cs="方正仿宋_GBK"/>
          <w:b w:val="0"/>
          <w:bCs w:val="0"/>
          <w:sz w:val="32"/>
          <w:szCs w:val="32"/>
        </w:rPr>
        <w:t>奖惩机制部分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kern w:val="0"/>
          <w:sz w:val="32"/>
          <w:szCs w:val="32"/>
          <w:lang w:val="en-US" w:eastAsia="zh-CN" w:bidi="ar"/>
        </w:rPr>
        <w:t>建立正向激励与反向惩戒相结合的机制。对落实水土保持责任到位、防治效果显著的项目，在政府性资金支持、项目评优等方面予以优先考虑；对违反</w:t>
      </w:r>
      <w:bookmarkStart w:id="0" w:name="_GoBack"/>
      <w:bookmarkEnd w:id="0"/>
      <w:r>
        <w:rPr>
          <w:rFonts w:hint="eastAsia" w:ascii="方正仿宋_GBK" w:hAnsi="方正仿宋_GBK" w:eastAsia="方正仿宋_GBK" w:cs="方正仿宋_GBK"/>
          <w:b w:val="0"/>
          <w:bCs w:val="0"/>
          <w:kern w:val="0"/>
          <w:sz w:val="32"/>
          <w:szCs w:val="32"/>
          <w:lang w:val="en-US" w:eastAsia="zh-CN" w:bidi="ar"/>
        </w:rPr>
        <w:t>《规范》的市场主体，依据《中华人民共和国水土保持法》等法律法规予以行政处罚，符合条件的列入“重点关注名单”“黑名单”实施信用惩戒，造成生态环境受损的依法承担赔偿责任，构成犯罪的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第七章是</w:t>
      </w:r>
      <w:r>
        <w:rPr>
          <w:rFonts w:hint="eastAsia" w:ascii="方正仿宋_GBK" w:hAnsi="方正仿宋_GBK" w:eastAsia="方正仿宋_GBK" w:cs="方正仿宋_GBK"/>
          <w:b w:val="0"/>
          <w:bCs w:val="0"/>
          <w:sz w:val="32"/>
          <w:szCs w:val="32"/>
        </w:rPr>
        <w:t>附则部分</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kern w:val="0"/>
          <w:sz w:val="32"/>
          <w:szCs w:val="32"/>
          <w:lang w:val="en-US" w:eastAsia="zh-CN" w:bidi="ar"/>
        </w:rPr>
        <w:t>界定“市、县（区）水利部门”的具体所指，明确《规范》未尽事宜的处理原则、解释权归属及施行日期与有效期，确保《规范》的适用性和严肃性。</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5554C"/>
    <w:rsid w:val="102D2D32"/>
    <w:rsid w:val="1425439B"/>
    <w:rsid w:val="21F35FC4"/>
    <w:rsid w:val="4169251F"/>
    <w:rsid w:val="4C35554C"/>
    <w:rsid w:val="4F0056E9"/>
    <w:rsid w:val="55FE7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2025-12-17T00:53:00Z</dcterms:created>
  <dc:creator>lenovo</dc:creator>
  <cp:lastModifiedBy>lenovo</cp:lastModifiedBy>
  <cp:lastPrinted>2025-12-17T08:33:01Z</cp:lastPrinted>
  <dcterms:modified xsi:type="dcterms:W3CDTF">2025-12-17T09:26:15Z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