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附件一：评审办法</w:t>
      </w:r>
    </w:p>
    <w:p>
      <w:pPr>
        <w:widowControl w:val="0"/>
        <w:spacing w:after="120" w:line="240" w:lineRule="auto"/>
        <w:ind w:left="420" w:firstLine="210" w:firstLineChars="0"/>
        <w:jc w:val="both"/>
        <w:rPr>
          <w:rFonts w:ascii="宋体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086"/>
        <w:gridCol w:w="506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3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评审项目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评分标准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企业业绩（10分）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1、自2022年1月1日（以合同签订时间为准）至今，参与比选的企业每提供1个类似水利工程审计或财务决算类服务的招标代理业绩得5分，满分10分。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注：提供业绩项目的招标公告（或采购公告）、中标公示（或成交结果公示）网站截图、代理合同复印件，加盖单位公章。</w:t>
            </w:r>
            <w:r>
              <w:rPr>
                <w:rFonts w:hint="eastAsia" w:ascii="Calibri" w:hAnsi="Calibri" w:eastAsia="宋体" w:cs="Times New Roman"/>
              </w:rPr>
              <w:t>同一项目只能计分一次。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人员配备（10分）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1、拟派项目负责人具有专业注册证书（一级造价师或咨询工程师）得3分，具有高级及以上职称的，得3分，共6分。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2、项目组成员具有专业注册证书（一级造价师或咨询工程师）或中级及以上职称的，每提供一人得2分，满分4分。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注：提供注册证书或职称证书复印件并加盖单位公章。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技术服务方案（20分）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1、招标代理机构对本项目的总体思路、综合描述思路清晰；总体框架合理。比选小组根据投标人情况进行综合打分：得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2、招标代理机构工作制度健全、符合项目服务要求。比选小组根据投标人情况进行综合打分：得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3、质量控制措施具体、合理、可行。比选小组根据投标人情况进行综合打分：得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4、进度控制措施具体、合理、可行。比选小组根据投标人情况进行综合打分：得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5、针对本工作风险防范方案、保密方案，处理措施得当。比选小组根据投标人情况进行综合打分：得0-3分，未提供的不得分。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6.招标代理服务整体方案、对本项目的合理化建议具体、合理、可行；比选小组根据投标人情况进行综合打分：得 0-3分，未提供的不得分。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服务报价（60分）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1、费率报价</w:t>
            </w:r>
            <w:r>
              <w:rPr>
                <w:rFonts w:ascii="宋体" w:hAnsi="宋体" w:eastAsia="宋体" w:cs="宋体"/>
                <w:szCs w:val="21"/>
              </w:rPr>
              <w:t>不能超过最高投标限价</w:t>
            </w:r>
            <w:r>
              <w:rPr>
                <w:rFonts w:hint="eastAsia" w:ascii="宋体" w:hAnsi="宋体" w:eastAsia="宋体" w:cs="宋体"/>
                <w:szCs w:val="21"/>
              </w:rPr>
              <w:t>A值（A值为按相关标准90%计取），超过最高投标限价将按无效标处理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</w:t>
            </w:r>
            <w:r>
              <w:rPr>
                <w:rFonts w:ascii="宋体" w:hAnsi="宋体" w:eastAsia="宋体" w:cs="宋体"/>
                <w:szCs w:val="21"/>
              </w:rPr>
              <w:t>评标基准价：将计算求得的最终基准价C 值作为满分</w:t>
            </w:r>
            <w:r>
              <w:rPr>
                <w:rFonts w:hint="eastAsia" w:ascii="宋体" w:hAnsi="宋体" w:eastAsia="宋体" w:cs="宋体"/>
                <w:szCs w:val="21"/>
              </w:rPr>
              <w:t>60</w:t>
            </w:r>
            <w:r>
              <w:rPr>
                <w:rFonts w:ascii="宋体" w:hAnsi="宋体" w:eastAsia="宋体" w:cs="宋体"/>
                <w:szCs w:val="21"/>
              </w:rPr>
              <w:t>分。最终基准价 C 值为</w:t>
            </w:r>
            <w:r>
              <w:rPr>
                <w:rFonts w:hint="eastAsia" w:ascii="宋体" w:hAnsi="宋体" w:eastAsia="宋体" w:cs="宋体"/>
                <w:szCs w:val="21"/>
              </w:rPr>
              <w:t>投标报价大于或等于A值的90</w:t>
            </w:r>
            <w:r>
              <w:rPr>
                <w:rFonts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</w:rPr>
              <w:t>且</w:t>
            </w:r>
            <w:r>
              <w:rPr>
                <w:rFonts w:ascii="宋体" w:hAnsi="宋体" w:eastAsia="宋体" w:cs="宋体"/>
                <w:szCs w:val="21"/>
              </w:rPr>
              <w:t>通过资格审查合格的各有效投标报价的平均值，若所有有效投标单位投标报价均低于</w:t>
            </w:r>
            <w:r>
              <w:rPr>
                <w:rFonts w:hint="eastAsia" w:ascii="宋体" w:hAnsi="宋体" w:eastAsia="宋体" w:cs="宋体"/>
                <w:szCs w:val="21"/>
              </w:rPr>
              <w:t>A值的90</w:t>
            </w:r>
            <w:r>
              <w:rPr>
                <w:rFonts w:ascii="宋体" w:hAnsi="宋体" w:eastAsia="宋体" w:cs="宋体"/>
                <w:szCs w:val="21"/>
              </w:rPr>
              <w:t>%，则最终基准价C 值取值为</w:t>
            </w:r>
            <w:r>
              <w:rPr>
                <w:rFonts w:hint="eastAsia" w:ascii="宋体" w:hAnsi="宋体" w:eastAsia="宋体" w:cs="宋体"/>
                <w:szCs w:val="21"/>
              </w:rPr>
              <w:t>A值的90</w:t>
            </w:r>
            <w:r>
              <w:rPr>
                <w:rFonts w:ascii="宋体" w:hAnsi="宋体" w:eastAsia="宋体" w:cs="宋体"/>
                <w:szCs w:val="21"/>
              </w:rPr>
              <w:t>%。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</w:t>
            </w:r>
            <w:r>
              <w:rPr>
                <w:rFonts w:ascii="宋体" w:hAnsi="宋体" w:eastAsia="宋体" w:cs="宋体"/>
                <w:szCs w:val="21"/>
              </w:rPr>
              <w:t>偏差率=100% × (投标人投标报价－评标基准价) /评标基准价。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4、服务报价</w:t>
            </w:r>
            <w:r>
              <w:rPr>
                <w:rFonts w:ascii="宋体" w:hAnsi="宋体" w:eastAsia="宋体" w:cs="宋体"/>
                <w:szCs w:val="21"/>
              </w:rPr>
              <w:t>得分(保留两位小数)计算公式示例：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1）如果投标人的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&gt;评标基准价，则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得分＝</w:t>
            </w:r>
            <w:r>
              <w:rPr>
                <w:rFonts w:hint="eastAsia" w:ascii="宋体" w:hAnsi="宋体" w:eastAsia="宋体" w:cs="宋体"/>
                <w:szCs w:val="21"/>
              </w:rPr>
              <w:t>60-</w:t>
            </w:r>
            <w:r>
              <w:rPr>
                <w:rFonts w:ascii="宋体" w:hAnsi="宋体" w:eastAsia="宋体" w:cs="宋体"/>
                <w:szCs w:val="21"/>
              </w:rPr>
              <w:t>偏差率×100×</w:t>
            </w:r>
            <w:r>
              <w:rPr>
                <w:rFonts w:hint="eastAsia" w:ascii="宋体" w:hAnsi="宋体" w:eastAsia="宋体" w:cs="宋体"/>
                <w:szCs w:val="21"/>
              </w:rPr>
              <w:t>0.5</w:t>
            </w:r>
            <w:r>
              <w:rPr>
                <w:rFonts w:ascii="宋体" w:hAnsi="宋体" w:eastAsia="宋体" w:cs="宋体"/>
                <w:szCs w:val="21"/>
              </w:rPr>
              <w:t xml:space="preserve">；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2）如果投标人的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≤评标基准价，则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得分＝</w:t>
            </w:r>
            <w:r>
              <w:rPr>
                <w:rFonts w:hint="eastAsia" w:ascii="宋体" w:hAnsi="宋体" w:eastAsia="宋体" w:cs="宋体"/>
                <w:szCs w:val="21"/>
              </w:rPr>
              <w:t>60</w:t>
            </w:r>
            <w:r>
              <w:rPr>
                <w:rFonts w:ascii="宋体" w:hAnsi="宋体" w:eastAsia="宋体" w:cs="宋体"/>
                <w:szCs w:val="21"/>
              </w:rPr>
              <w:t>+偏差率×100×0.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ascii="宋体" w:hAnsi="宋体" w:eastAsia="宋体" w:cs="宋体"/>
                <w:szCs w:val="21"/>
              </w:rPr>
              <w:t xml:space="preserve">；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注：评标基准价 C 值经</w:t>
            </w:r>
            <w:r>
              <w:rPr>
                <w:rFonts w:hint="eastAsia" w:ascii="宋体" w:hAnsi="宋体" w:eastAsia="宋体" w:cs="宋体"/>
                <w:szCs w:val="21"/>
              </w:rPr>
              <w:t>比选小组</w:t>
            </w:r>
            <w:r>
              <w:rPr>
                <w:rFonts w:ascii="宋体" w:hAnsi="宋体" w:eastAsia="宋体" w:cs="宋体"/>
                <w:szCs w:val="21"/>
              </w:rPr>
              <w:t>确定后，除C 值计算错误外，不因异议投诉等事项而改变。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widowControl/>
        <w:spacing w:beforeAutospacing="0" w:afterAutospacing="0" w:line="360" w:lineRule="auto"/>
        <w:jc w:val="right"/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766E"/>
    <w:rsid w:val="263F766E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2025-11-17T02:40:00Z</dcterms:created>
  <dc:creator>Administrator</dc:creator>
  <cp:lastModifiedBy>Administrator</cp:lastModifiedBy>
  <dcterms:modified xsi:type="dcterms:W3CDTF">2025-11-17T02:41:33Z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