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412" w:lineRule="auto"/>
        <w:jc w:val="left"/>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附件</w:t>
      </w:r>
    </w:p>
    <w:p>
      <w:pPr>
        <w:keepNext/>
        <w:keepLines/>
        <w:widowControl w:val="0"/>
        <w:spacing w:line="412" w:lineRule="auto"/>
        <w:jc w:val="center"/>
        <w:outlineLvl w:val="2"/>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服务要求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8"/>
          <w:szCs w:val="28"/>
        </w:rPr>
      </w:pPr>
      <w:bookmarkStart w:id="0" w:name="_Toc511899299"/>
      <w:bookmarkEnd w:id="0"/>
      <w:r>
        <w:rPr>
          <w:rFonts w:hint="eastAsia" w:ascii="宋体" w:hAnsi="宋体" w:eastAsia="宋体" w:cs="宋体"/>
          <w:b/>
          <w:bCs/>
          <w:color w:val="auto"/>
          <w:kern w:val="0"/>
          <w:sz w:val="28"/>
          <w:szCs w:val="28"/>
          <w:lang w:val="en-US" w:eastAsia="zh-CN"/>
        </w:rPr>
        <w:t xml:space="preserve">一、基本概况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小余闸（小（1）型水闸）位于新汴河左堤上, 距唐河地下涵590m，是唐河地下涵的附属工程，也是唐河与新汴河唯一互通的水闸，工程主要作用是引水和排涝。新建小余闸共3孔，每孔净宽6米，设计排涝流量88秒立米，闸室采用钢筋混凝土箱涵式结构，上下游翼墙为八字形布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二、服务内容及要求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根据水利部《关于印发《水闸安全鉴定管理办法》的通知》(水建管 (2008) 214号)要求，并按《水闸安全评价导则》(SL214-2015) 开展工作，完成</w:t>
      </w:r>
      <w:r>
        <w:rPr>
          <w:rFonts w:hint="eastAsia" w:ascii="宋体" w:hAnsi="宋体" w:eastAsia="宋体" w:cs="宋体"/>
          <w:color w:val="auto"/>
          <w:sz w:val="28"/>
          <w:szCs w:val="28"/>
          <w:lang w:val="en-US" w:eastAsia="zh-CN"/>
        </w:rPr>
        <w:t>小余闸</w:t>
      </w:r>
      <w:r>
        <w:rPr>
          <w:rFonts w:hint="eastAsia" w:ascii="宋体" w:hAnsi="宋体" w:eastAsia="宋体" w:cs="宋体"/>
          <w:color w:val="auto"/>
          <w:sz w:val="28"/>
          <w:szCs w:val="28"/>
        </w:rPr>
        <w:t>现状调查分析报告、现场安全检测报告、工程复核计算和安全评价，并提交安全鉴定报告书。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具体工作内容如下: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(1)编制工程现状调查分析报告</w:t>
      </w:r>
      <w:r>
        <w:rPr>
          <w:rFonts w:hint="eastAsia" w:ascii="宋体" w:hAnsi="宋体" w:eastAsia="宋体" w:cs="宋体"/>
          <w:color w:val="auto"/>
          <w:sz w:val="28"/>
          <w:szCs w:val="28"/>
          <w:lang w:val="en-US" w:eastAsia="zh-CN"/>
        </w:rPr>
        <w:t>及</w:t>
      </w:r>
      <w:r>
        <w:rPr>
          <w:rFonts w:hint="eastAsia" w:ascii="宋体" w:hAnsi="宋体" w:eastAsia="宋体" w:cs="宋体"/>
          <w:color w:val="auto"/>
          <w:sz w:val="28"/>
          <w:szCs w:val="28"/>
        </w:rPr>
        <w:t>现场</w:t>
      </w:r>
      <w:r>
        <w:rPr>
          <w:rFonts w:hint="eastAsia" w:ascii="宋体" w:hAnsi="宋体" w:eastAsia="宋体" w:cs="宋体"/>
          <w:color w:val="auto"/>
          <w:sz w:val="28"/>
          <w:szCs w:val="28"/>
          <w:lang w:val="en-US" w:eastAsia="zh-CN"/>
        </w:rPr>
        <w:t>安</w:t>
      </w:r>
      <w:r>
        <w:rPr>
          <w:rFonts w:hint="eastAsia" w:ascii="宋体" w:hAnsi="宋体" w:eastAsia="宋体" w:cs="宋体"/>
          <w:color w:val="auto"/>
          <w:sz w:val="28"/>
          <w:szCs w:val="28"/>
        </w:rPr>
        <w:t>全检测报告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其中安全检测报告中应含有水下部分情况描述</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(2)工程复核计算应以最新的规划数据、检查观测资料和安全检测成果为依据，按照有关规范，进行闸室、岸墙和翼墙的整体稳定性，抗渗稳定性、抗震能力、水闸过水能力、消能防冲、结构强度以及</w:t>
      </w:r>
      <w:r>
        <w:rPr>
          <w:rFonts w:hint="eastAsia" w:ascii="宋体" w:hAnsi="宋体" w:eastAsia="宋体" w:cs="宋体"/>
          <w:color w:val="auto"/>
          <w:sz w:val="28"/>
          <w:szCs w:val="28"/>
          <w:lang w:val="en-US" w:eastAsia="zh-CN"/>
        </w:rPr>
        <w:t>闸门</w:t>
      </w:r>
      <w:r>
        <w:rPr>
          <w:rFonts w:hint="eastAsia" w:ascii="宋体" w:hAnsi="宋体" w:eastAsia="宋体" w:cs="宋体"/>
          <w:color w:val="auto"/>
          <w:sz w:val="28"/>
          <w:szCs w:val="28"/>
        </w:rPr>
        <w:t>、启闭机、电气设备等复核计算，编写工程复核计算分析报告。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安全评价应在现状调查、现场安全检测和工程复核计算基础上，充分论证数据资料可靠性和安全检测、复核计算方法及其结果的合理性,提出工程存在的主要问题、水闸安全类别评定结果和处理措施建议，并编制水闸安全评价总报告。</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三、安全鉴定成果及要求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(1)成果符合《水闸安全评价导则》 (SL214-2015) 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Times New Roman" w:hAnsi="Times New Roman" w:eastAsia="宋体" w:cs="Times New Roman"/>
          <w:color w:val="auto"/>
          <w:sz w:val="28"/>
          <w:szCs w:val="28"/>
          <w:highlight w:val="none"/>
          <w:lang w:val="en-US" w:eastAsia="zh-CN"/>
        </w:rPr>
        <w:t>合同签订后 60 日历天内完成水闸安全鉴定工作，提交水闸安全评价报告</w:t>
      </w:r>
      <w:r>
        <w:rPr>
          <w:rFonts w:hint="eastAsia" w:ascii="宋体" w:hAnsi="宋体" w:eastAsia="宋体" w:cs="宋体"/>
          <w:color w:val="auto"/>
          <w:sz w:val="28"/>
          <w:szCs w:val="28"/>
        </w:rPr>
        <w:t>，</w:t>
      </w:r>
      <w:r>
        <w:rPr>
          <w:rFonts w:hint="eastAsia" w:ascii="Times New Roman" w:hAnsi="Times New Roman" w:eastAsia="宋体" w:cs="Times New Roman"/>
          <w:color w:val="auto"/>
          <w:sz w:val="28"/>
          <w:szCs w:val="28"/>
          <w:highlight w:val="none"/>
          <w:lang w:val="en-US" w:eastAsia="zh-CN"/>
        </w:rPr>
        <w:t>通过审定</w:t>
      </w:r>
      <w:r>
        <w:rPr>
          <w:rFonts w:hint="eastAsia" w:ascii="宋体" w:hAnsi="宋体" w:eastAsia="宋体" w:cs="宋体"/>
          <w:color w:val="auto"/>
          <w:sz w:val="28"/>
          <w:szCs w:val="28"/>
        </w:rPr>
        <w:t xml:space="preserve">并提交相关报告书(份数满足需要) </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(3)成交供应商应保证工程现状调查分析报告、现场安全检测报告、工程复核计算分析报告、安全评价报告书通过水闸安全鉴定专家组评审。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(4)成交供应商承担履行合同规定的全部成交义务而发生的包括但不限于差旅费、保险、人员补助费、安全检测、安全鉴定评审会议等涉及项目相关的所有费用。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四、项目重点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本次水闸安全鉴定项目的工作重点是严格按照《水闸安全鉴定管理办法》(水建管(2008)214号)及《水闸安全评价导则》(SL214-2015)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水闸安全鉴定规定》（SL214-98）要求，通过开展现场安全检查、现场安全检测、以及各专业安全评价等多项工作内容，对小余闸工程进行安全鉴定工作，开展客观、公正、科学的评价，编制水闸安全鉴定文件，并协助</w:t>
      </w:r>
      <w:r>
        <w:rPr>
          <w:rFonts w:hint="eastAsia" w:ascii="宋体" w:hAnsi="宋体" w:eastAsia="宋体" w:cs="宋体"/>
          <w:color w:val="auto"/>
          <w:sz w:val="28"/>
          <w:szCs w:val="28"/>
          <w:lang w:val="en-US" w:eastAsia="zh-CN"/>
        </w:rPr>
        <w:t>采购</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对报告进行</w:t>
      </w:r>
      <w:r>
        <w:rPr>
          <w:rFonts w:hint="eastAsia" w:ascii="宋体" w:hAnsi="宋体" w:eastAsia="宋体" w:cs="宋体"/>
          <w:color w:val="auto"/>
          <w:sz w:val="28"/>
          <w:szCs w:val="28"/>
        </w:rPr>
        <w:t>审定。</w:t>
      </w:r>
    </w:p>
    <w:p>
      <w:pPr>
        <w:widowControl w:val="0"/>
        <w:spacing w:after="120"/>
        <w:ind w:firstLine="210" w:firstLineChars="100"/>
        <w:jc w:val="both"/>
        <w:rPr>
          <w:rFonts w:hint="default" w:ascii="Times New Roman" w:hAnsi="Times New Roman" w:eastAsia="宋体" w:cs="Times New Roman"/>
          <w:color w:val="auto"/>
          <w:kern w:val="2"/>
          <w:sz w:val="21"/>
          <w:szCs w:val="21"/>
          <w:lang w:val="en-US" w:eastAsia="zh-CN" w:bidi="ar-SA"/>
        </w:rPr>
      </w:pPr>
    </w:p>
    <w:p>
      <w:pPr>
        <w:bidi w:val="0"/>
        <w:rPr>
          <w:rFonts w:hint="eastAsia" w:ascii="Times New Roman" w:hAnsi="Times New Roman" w:eastAsia="宋体" w:cs="Times New Roman"/>
          <w:color w:val="auto"/>
          <w:szCs w:val="21"/>
          <w:highlight w:val="none"/>
        </w:rPr>
      </w:pPr>
    </w:p>
    <w:p>
      <w:pPr>
        <w:rPr>
          <w:rFonts w:hint="eastAsia" w:ascii="仿宋" w:hAnsi="仿宋" w:eastAsia="仿宋" w:cs="仿宋"/>
          <w:b/>
          <w:bCs/>
          <w:color w:val="auto"/>
          <w:sz w:val="24"/>
          <w:szCs w:val="24"/>
        </w:rPr>
      </w:pPr>
    </w:p>
    <w:p>
      <w:pPr>
        <w:spacing w:before="179" w:line="219" w:lineRule="auto"/>
        <w:jc w:val="both"/>
        <w:rPr>
          <w:rFonts w:hint="eastAsia" w:ascii="仿宋" w:hAnsi="仿宋" w:eastAsia="仿宋" w:cs="仿宋"/>
          <w:b/>
          <w:bCs/>
          <w:color w:val="auto"/>
          <w:kern w:val="0"/>
          <w:sz w:val="36"/>
          <w:szCs w:val="36"/>
          <w:shd w:val="clear" w:color="auto" w:fill="FFFFFF"/>
        </w:rPr>
        <w:sectPr>
          <w:footerReference r:id="rId3" w:type="default"/>
          <w:pgSz w:w="11906" w:h="16838"/>
          <w:pgMar w:top="1134" w:right="1800" w:bottom="1134"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仿宋" w:hAnsi="仿宋" w:eastAsia="仿宋" w:cs="仿宋"/>
          <w:b/>
          <w:bCs/>
          <w:color w:val="auto"/>
          <w:sz w:val="24"/>
          <w:szCs w:val="24"/>
        </w:rPr>
      </w:pPr>
      <w:r>
        <w:rPr>
          <w:rFonts w:hint="eastAsia" w:ascii="仿宋" w:hAnsi="仿宋" w:eastAsia="仿宋" w:cs="仿宋"/>
          <w:b/>
          <w:bCs/>
          <w:color w:val="auto"/>
          <w:sz w:val="24"/>
          <w:szCs w:val="24"/>
        </w:rPr>
        <w:t>报价函（附件1）：</w:t>
      </w:r>
    </w:p>
    <w:p>
      <w:pPr>
        <w:spacing w:line="360" w:lineRule="auto"/>
        <w:jc w:val="center"/>
        <w:rPr>
          <w:rFonts w:ascii="仿宋" w:hAnsi="仿宋" w:eastAsia="仿宋" w:cs="仿宋"/>
          <w:b/>
          <w:color w:val="auto"/>
          <w:sz w:val="48"/>
          <w:szCs w:val="28"/>
        </w:rPr>
      </w:pPr>
      <w:r>
        <w:rPr>
          <w:rFonts w:hint="eastAsia" w:ascii="仿宋" w:hAnsi="仿宋" w:eastAsia="仿宋" w:cs="仿宋"/>
          <w:b/>
          <w:color w:val="auto"/>
          <w:sz w:val="48"/>
          <w:szCs w:val="28"/>
        </w:rPr>
        <w:t>报价函</w:t>
      </w:r>
    </w:p>
    <w:p>
      <w:pPr>
        <w:spacing w:line="360" w:lineRule="auto"/>
        <w:ind w:right="280"/>
        <w:jc w:val="left"/>
        <w:rPr>
          <w:rFonts w:hint="eastAsia" w:ascii="仿宋" w:hAnsi="仿宋" w:eastAsia="仿宋" w:cs="仿宋"/>
          <w:color w:val="auto"/>
          <w:sz w:val="24"/>
          <w:szCs w:val="21"/>
        </w:rPr>
      </w:pPr>
      <w:r>
        <w:rPr>
          <w:rFonts w:hint="eastAsia" w:ascii="仿宋" w:hAnsi="仿宋" w:eastAsia="仿宋" w:cs="仿宋"/>
          <w:b/>
          <w:bCs/>
          <w:color w:val="auto"/>
          <w:sz w:val="24"/>
          <w:szCs w:val="21"/>
          <w:u w:val="single"/>
          <w:lang w:val="en-US" w:eastAsia="zh-CN"/>
        </w:rPr>
        <w:t>宿州市水利局唐河地下涵管理所</w:t>
      </w:r>
      <w:r>
        <w:rPr>
          <w:rFonts w:hint="eastAsia" w:ascii="仿宋" w:hAnsi="仿宋" w:eastAsia="仿宋" w:cs="仿宋"/>
          <w:color w:val="auto"/>
          <w:sz w:val="24"/>
          <w:szCs w:val="21"/>
        </w:rPr>
        <w:t>：</w:t>
      </w:r>
    </w:p>
    <w:p>
      <w:pPr>
        <w:spacing w:line="360" w:lineRule="auto"/>
        <w:ind w:firstLine="480" w:firstLineChars="200"/>
        <w:jc w:val="left"/>
        <w:rPr>
          <w:rFonts w:hint="eastAsia" w:ascii="仿宋" w:hAnsi="仿宋" w:eastAsia="仿宋" w:cs="仿宋"/>
          <w:color w:val="auto"/>
          <w:sz w:val="24"/>
          <w:szCs w:val="21"/>
        </w:rPr>
      </w:pPr>
      <w:r>
        <w:rPr>
          <w:rFonts w:hint="eastAsia" w:ascii="仿宋" w:hAnsi="仿宋" w:eastAsia="仿宋" w:cs="仿宋"/>
          <w:color w:val="auto"/>
          <w:sz w:val="24"/>
          <w:szCs w:val="21"/>
        </w:rPr>
        <w:t>我公司在收到贵单位发出的</w:t>
      </w:r>
      <w:r>
        <w:rPr>
          <w:rFonts w:hint="eastAsia" w:ascii="仿宋" w:hAnsi="仿宋" w:eastAsia="仿宋" w:cs="仿宋"/>
          <w:color w:val="auto"/>
          <w:sz w:val="24"/>
          <w:szCs w:val="21"/>
          <w:lang w:val="en-US" w:eastAsia="zh-CN"/>
        </w:rPr>
        <w:t>公开</w:t>
      </w:r>
      <w:r>
        <w:rPr>
          <w:rFonts w:hint="eastAsia" w:ascii="仿宋" w:hAnsi="仿宋" w:eastAsia="仿宋" w:cs="仿宋"/>
          <w:color w:val="auto"/>
          <w:sz w:val="24"/>
          <w:szCs w:val="21"/>
          <w:lang w:eastAsia="zh-CN"/>
        </w:rPr>
        <w:t>询价</w:t>
      </w:r>
      <w:r>
        <w:rPr>
          <w:rFonts w:hint="eastAsia" w:ascii="仿宋" w:hAnsi="仿宋" w:eastAsia="仿宋" w:cs="仿宋"/>
          <w:color w:val="auto"/>
          <w:sz w:val="24"/>
          <w:szCs w:val="21"/>
          <w:lang w:val="en-US" w:eastAsia="zh-CN"/>
        </w:rPr>
        <w:t>资料</w:t>
      </w:r>
      <w:r>
        <w:rPr>
          <w:rFonts w:hint="eastAsia" w:ascii="仿宋" w:hAnsi="仿宋" w:eastAsia="仿宋" w:cs="仿宋"/>
          <w:color w:val="auto"/>
          <w:sz w:val="24"/>
          <w:szCs w:val="21"/>
        </w:rPr>
        <w:t>后，经研究，对贵单位</w:t>
      </w:r>
      <w:r>
        <w:rPr>
          <w:rFonts w:hint="eastAsia" w:ascii="仿宋" w:hAnsi="仿宋" w:eastAsia="仿宋" w:cs="仿宋"/>
          <w:color w:val="auto"/>
          <w:sz w:val="24"/>
          <w:szCs w:val="21"/>
          <w:lang w:val="en-US" w:eastAsia="zh-CN"/>
        </w:rPr>
        <w:t>采购项目</w:t>
      </w:r>
      <w:r>
        <w:rPr>
          <w:rFonts w:hint="eastAsia" w:ascii="仿宋" w:hAnsi="仿宋" w:eastAsia="仿宋" w:cs="仿宋"/>
          <w:color w:val="auto"/>
          <w:sz w:val="24"/>
          <w:szCs w:val="21"/>
        </w:rPr>
        <w:t>做如下报价：</w:t>
      </w:r>
    </w:p>
    <w:tbl>
      <w:tblPr>
        <w:tblStyle w:val="4"/>
        <w:tblW w:w="5160" w:type="pct"/>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418"/>
        <w:gridCol w:w="1308"/>
        <w:gridCol w:w="1246"/>
        <w:gridCol w:w="6"/>
        <w:gridCol w:w="106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34" w:type="pct"/>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942" w:type="pct"/>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项目名称</w:t>
            </w:r>
          </w:p>
        </w:tc>
        <w:tc>
          <w:tcPr>
            <w:tcW w:w="743" w:type="pct"/>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数量</w:t>
            </w:r>
          </w:p>
        </w:tc>
        <w:tc>
          <w:tcPr>
            <w:tcW w:w="708" w:type="pc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单价</w:t>
            </w:r>
          </w:p>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（元）</w:t>
            </w:r>
          </w:p>
        </w:tc>
        <w:tc>
          <w:tcPr>
            <w:tcW w:w="607" w:type="pct"/>
            <w:gridSpan w:val="2"/>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合计（元）</w:t>
            </w:r>
          </w:p>
        </w:tc>
        <w:tc>
          <w:tcPr>
            <w:tcW w:w="563" w:type="pct"/>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34"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lang w:val="en-US" w:eastAsia="zh-CN"/>
              </w:rPr>
              <w:t>1</w:t>
            </w:r>
          </w:p>
        </w:tc>
        <w:tc>
          <w:tcPr>
            <w:tcW w:w="1942" w:type="pc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小余闸安全鉴定项目</w:t>
            </w:r>
          </w:p>
        </w:tc>
        <w:tc>
          <w:tcPr>
            <w:tcW w:w="743" w:type="pct"/>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1项</w:t>
            </w:r>
          </w:p>
        </w:tc>
        <w:tc>
          <w:tcPr>
            <w:tcW w:w="711" w:type="pct"/>
            <w:gridSpan w:val="2"/>
            <w:vAlign w:val="center"/>
          </w:tcPr>
          <w:p>
            <w:pPr>
              <w:keepNext w:val="0"/>
              <w:keepLines w:val="0"/>
              <w:widowControl/>
              <w:suppressLineNumbers w:val="0"/>
              <w:spacing w:before="0" w:beforeAutospacing="0" w:after="0" w:afterAutospacing="0" w:line="360" w:lineRule="auto"/>
              <w:ind w:left="0" w:right="0"/>
              <w:jc w:val="center"/>
              <w:textAlignment w:val="top"/>
              <w:outlineLvl w:val="9"/>
              <w:rPr>
                <w:rFonts w:hint="eastAsia" w:ascii="宋体" w:hAnsi="宋体" w:eastAsia="宋体" w:cs="宋体"/>
                <w:i w:val="0"/>
                <w:iCs w:val="0"/>
                <w:color w:val="auto"/>
                <w:kern w:val="2"/>
                <w:sz w:val="21"/>
                <w:szCs w:val="21"/>
                <w:highlight w:val="none"/>
                <w:u w:val="none"/>
                <w:lang w:val="en-US" w:eastAsia="zh-CN" w:bidi="ar-SA"/>
              </w:rPr>
            </w:pPr>
          </w:p>
        </w:tc>
        <w:tc>
          <w:tcPr>
            <w:tcW w:w="603" w:type="pc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p>
        </w:tc>
        <w:tc>
          <w:tcPr>
            <w:tcW w:w="563" w:type="pc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完全响应服务要求（附件）内容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29" w:type="pct"/>
            <w:gridSpan w:val="4"/>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仿宋" w:hAnsi="仿宋" w:eastAsia="仿宋" w:cs="仿宋"/>
                <w:color w:val="auto"/>
                <w:sz w:val="21"/>
                <w:szCs w:val="21"/>
                <w:highlight w:val="none"/>
                <w:lang w:val="en-US" w:eastAsia="zh-CN"/>
              </w:rPr>
              <w:t>合计</w:t>
            </w:r>
          </w:p>
        </w:tc>
        <w:tc>
          <w:tcPr>
            <w:tcW w:w="607" w:type="pct"/>
            <w:gridSpan w:val="2"/>
            <w:vAlign w:val="center"/>
          </w:tcPr>
          <w:p>
            <w:pPr>
              <w:keepNext w:val="0"/>
              <w:keepLines w:val="0"/>
              <w:widowControl/>
              <w:suppressLineNumbers w:val="0"/>
              <w:spacing w:before="0" w:beforeAutospacing="0" w:after="0" w:afterAutospacing="0" w:line="360" w:lineRule="auto"/>
              <w:ind w:left="0" w:right="0"/>
              <w:jc w:val="center"/>
              <w:textAlignment w:val="top"/>
              <w:outlineLvl w:val="9"/>
              <w:rPr>
                <w:rFonts w:hint="eastAsia" w:ascii="宋体" w:hAnsi="宋体" w:eastAsia="宋体" w:cs="宋体"/>
                <w:i w:val="0"/>
                <w:iCs w:val="0"/>
                <w:color w:val="auto"/>
                <w:kern w:val="2"/>
                <w:sz w:val="21"/>
                <w:szCs w:val="21"/>
                <w:highlight w:val="none"/>
                <w:u w:val="none"/>
                <w:lang w:val="en-US" w:eastAsia="zh-CN" w:bidi="ar-SA"/>
              </w:rPr>
            </w:pPr>
          </w:p>
        </w:tc>
        <w:tc>
          <w:tcPr>
            <w:tcW w:w="563" w:type="pct"/>
            <w:vAlign w:val="center"/>
          </w:tcPr>
          <w:p>
            <w:pPr>
              <w:keepNext w:val="0"/>
              <w:keepLines w:val="0"/>
              <w:widowControl/>
              <w:suppressLineNumbers w:val="0"/>
              <w:spacing w:before="0" w:beforeAutospacing="0" w:after="0" w:afterAutospacing="0" w:line="360" w:lineRule="auto"/>
              <w:ind w:left="0" w:right="0"/>
              <w:jc w:val="center"/>
              <w:textAlignment w:val="top"/>
              <w:outlineLvl w:val="9"/>
              <w:rPr>
                <w:rFonts w:hint="eastAsia" w:ascii="宋体" w:hAnsi="宋体" w:eastAsia="宋体" w:cs="宋体"/>
                <w:i w:val="0"/>
                <w:i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7"/>
            <w:vAlign w:val="center"/>
          </w:tcPr>
          <w:p>
            <w:pPr>
              <w:keepNext w:val="0"/>
              <w:keepLines w:val="0"/>
              <w:suppressLineNumbers w:val="0"/>
              <w:spacing w:before="0" w:beforeAutospacing="0" w:after="0" w:afterAutospacing="0" w:line="360" w:lineRule="auto"/>
              <w:ind w:left="0" w:right="0"/>
              <w:jc w:val="both"/>
              <w:rPr>
                <w:rFonts w:hint="default" w:ascii="Times New Roman" w:hAnsi="Times New Roman" w:eastAsia="宋体" w:cs="Times New Roman"/>
                <w:color w:val="auto"/>
                <w:szCs w:val="21"/>
                <w:highlight w:val="none"/>
                <w:lang w:val="en-US" w:eastAsia="zh-CN"/>
              </w:rPr>
            </w:pPr>
            <w:r>
              <w:rPr>
                <w:rFonts w:hint="eastAsia" w:ascii="仿宋" w:hAnsi="仿宋" w:eastAsia="仿宋" w:cs="仿宋"/>
                <w:color w:val="auto"/>
                <w:sz w:val="21"/>
                <w:szCs w:val="21"/>
                <w:highlight w:val="none"/>
                <w:lang w:val="en-US" w:eastAsia="zh-CN"/>
              </w:rPr>
              <w:t>注：本项目报价包含完成项目工作的所有内容。</w:t>
            </w:r>
          </w:p>
        </w:tc>
      </w:tr>
    </w:tbl>
    <w:p>
      <w:pPr>
        <w:spacing w:line="360" w:lineRule="auto"/>
        <w:ind w:firstLine="480" w:firstLineChars="200"/>
        <w:jc w:val="left"/>
        <w:rPr>
          <w:rFonts w:hint="eastAsia" w:ascii="仿宋" w:hAnsi="仿宋" w:eastAsia="仿宋" w:cs="仿宋"/>
          <w:b/>
          <w:bCs/>
          <w:color w:val="auto"/>
          <w:sz w:val="24"/>
          <w:szCs w:val="24"/>
          <w:lang w:val="en-US" w:eastAsia="zh-CN"/>
        </w:rPr>
      </w:pPr>
    </w:p>
    <w:p>
      <w:pPr>
        <w:spacing w:line="360" w:lineRule="auto"/>
        <w:ind w:firstLine="480" w:firstLineChars="200"/>
        <w:jc w:val="left"/>
        <w:rPr>
          <w:rFonts w:hint="eastAsia" w:ascii="仿宋" w:hAnsi="仿宋" w:eastAsia="仿宋" w:cs="仿宋"/>
          <w:b/>
          <w:bCs/>
          <w:color w:val="auto"/>
          <w:sz w:val="24"/>
          <w:szCs w:val="24"/>
          <w:lang w:val="en-US" w:eastAsia="zh-CN"/>
        </w:rPr>
      </w:pPr>
    </w:p>
    <w:p>
      <w:pPr>
        <w:spacing w:line="360" w:lineRule="auto"/>
        <w:ind w:firstLine="480"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注：投标总报价应包括人工费（含差旅费）、材料费、机械费、管理费、税、利润、服务期限内的风险费用、前期资料的收集等完成本次采购范围内工作所发生的全部费用</w:t>
      </w:r>
      <w:r>
        <w:rPr>
          <w:rFonts w:hint="eastAsia" w:ascii="仿宋" w:hAnsi="仿宋" w:eastAsia="仿宋" w:cs="仿宋"/>
          <w:b/>
          <w:bCs/>
          <w:color w:val="auto"/>
          <w:sz w:val="24"/>
          <w:szCs w:val="24"/>
        </w:rPr>
        <w:t>，即为履行合同的最终价格。</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报价单位名称：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法定代表人或委托代理人：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（签字或盖章）</w:t>
      </w:r>
    </w:p>
    <w:p>
      <w:pPr>
        <w:spacing w:line="360" w:lineRule="auto"/>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br w:type="page"/>
      </w:r>
    </w:p>
    <w:p>
      <w:pPr>
        <w:rPr>
          <w:rFonts w:hint="eastAsia" w:ascii="仿宋" w:hAnsi="仿宋" w:eastAsia="仿宋" w:cs="仿宋"/>
          <w:b/>
          <w:bCs/>
          <w:color w:val="auto"/>
          <w:sz w:val="24"/>
          <w:szCs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仿宋" w:hAnsi="仿宋" w:eastAsia="仿宋" w:cs="仿宋"/>
          <w:b/>
          <w:bCs/>
          <w:color w:val="auto"/>
          <w:sz w:val="24"/>
          <w:szCs w:val="24"/>
        </w:rPr>
      </w:pPr>
      <w:r>
        <w:rPr>
          <w:rFonts w:hint="eastAsia" w:ascii="仿宋" w:hAnsi="仿宋" w:eastAsia="仿宋" w:cs="仿宋"/>
          <w:b/>
          <w:bCs/>
          <w:color w:val="auto"/>
          <w:sz w:val="24"/>
          <w:szCs w:val="24"/>
        </w:rPr>
        <w:t>声明函（附件</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w:t>
      </w:r>
    </w:p>
    <w:p>
      <w:pPr>
        <w:spacing w:before="179" w:line="219" w:lineRule="auto"/>
        <w:jc w:val="center"/>
        <w:rPr>
          <w:rFonts w:ascii="仿宋" w:hAnsi="仿宋" w:eastAsia="仿宋" w:cs="仿宋"/>
          <w:b/>
          <w:bCs/>
          <w:color w:val="auto"/>
          <w:kern w:val="0"/>
          <w:sz w:val="36"/>
          <w:szCs w:val="36"/>
          <w:shd w:val="clear" w:color="auto" w:fill="FFFFFF"/>
        </w:rPr>
      </w:pPr>
      <w:r>
        <w:rPr>
          <w:rFonts w:hint="eastAsia" w:ascii="仿宋" w:hAnsi="仿宋" w:eastAsia="仿宋" w:cs="仿宋"/>
          <w:b/>
          <w:bCs/>
          <w:color w:val="auto"/>
          <w:kern w:val="0"/>
          <w:sz w:val="36"/>
          <w:szCs w:val="36"/>
          <w:shd w:val="clear" w:color="auto" w:fill="FFFFFF"/>
        </w:rPr>
        <w:t>声明函</w:t>
      </w:r>
    </w:p>
    <w:p>
      <w:pPr>
        <w:spacing w:line="360" w:lineRule="auto"/>
        <w:ind w:left="1843"/>
        <w:rPr>
          <w:rFonts w:ascii="宋体" w:hAnsi="宋体" w:eastAsia="宋体" w:cs="宋体"/>
          <w:color w:val="auto"/>
          <w:sz w:val="32"/>
          <w:szCs w:val="32"/>
        </w:rPr>
      </w:pPr>
      <w:r>
        <w:rPr>
          <w:rFonts w:ascii="宋体" w:hAnsi="宋体" w:eastAsia="宋体" w:cs="宋体"/>
          <w:color w:val="auto"/>
          <w:sz w:val="32"/>
          <w:szCs w:val="32"/>
          <w14:textOutline w14:w="4356" w14:cap="flat" w14:cmpd="sng">
            <w14:solidFill>
              <w14:srgbClr w14:val="000000"/>
            </w14:solidFill>
            <w14:prstDash w14:val="solid"/>
            <w14:miter w14:val="0"/>
          </w14:textOutline>
        </w:rPr>
        <w:t>«政府采购法»第二十二条规定声明函</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根据《财政部关于促进政府采购公平竞争优化营商环境的通知》</w:t>
      </w:r>
      <w:r>
        <w:rPr>
          <w:rFonts w:hint="eastAsia" w:ascii="宋体" w:hAnsi="宋体" w:eastAsia="宋体" w:cs="宋体"/>
          <w:color w:val="auto"/>
          <w:sz w:val="24"/>
          <w:szCs w:val="21"/>
        </w:rPr>
        <w:t>（</w:t>
      </w:r>
      <w:r>
        <w:rPr>
          <w:rFonts w:ascii="宋体" w:hAnsi="宋体" w:eastAsia="宋体" w:cs="宋体"/>
          <w:color w:val="auto"/>
          <w:sz w:val="24"/>
          <w:szCs w:val="21"/>
        </w:rPr>
        <w:t>财库〔2019〕38号</w:t>
      </w:r>
      <w:r>
        <w:rPr>
          <w:rFonts w:hint="eastAsia" w:ascii="宋体" w:hAnsi="宋体" w:eastAsia="宋体" w:cs="宋体"/>
          <w:color w:val="auto"/>
          <w:sz w:val="24"/>
          <w:szCs w:val="21"/>
        </w:rPr>
        <w:t>）</w:t>
      </w:r>
      <w:r>
        <w:rPr>
          <w:rFonts w:ascii="宋体" w:hAnsi="宋体" w:eastAsia="宋体" w:cs="宋体"/>
          <w:color w:val="auto"/>
          <w:sz w:val="24"/>
          <w:szCs w:val="21"/>
        </w:rPr>
        <w:t>的规定，本公司郑重声明,本公司同时满足以下条件：</w:t>
      </w:r>
    </w:p>
    <w:p>
      <w:pPr>
        <w:spacing w:line="360" w:lineRule="auto"/>
        <w:ind w:left="578"/>
        <w:rPr>
          <w:rFonts w:ascii="宋体" w:hAnsi="宋体" w:eastAsia="宋体" w:cs="宋体"/>
          <w:color w:val="auto"/>
          <w:sz w:val="24"/>
          <w:szCs w:val="21"/>
        </w:rPr>
      </w:pPr>
      <w:r>
        <w:rPr>
          <w:rFonts w:ascii="宋体" w:hAnsi="宋体" w:eastAsia="宋体" w:cs="宋体"/>
          <w:color w:val="auto"/>
          <w:position w:val="29"/>
          <w:sz w:val="24"/>
          <w:szCs w:val="21"/>
        </w:rPr>
        <w:t>1.符合《中华人民共和国政府采购法》第二十二条规定。</w:t>
      </w:r>
    </w:p>
    <w:p>
      <w:pPr>
        <w:spacing w:line="360" w:lineRule="auto"/>
        <w:ind w:left="563"/>
        <w:rPr>
          <w:rFonts w:ascii="宋体" w:hAnsi="宋体" w:eastAsia="宋体" w:cs="宋体"/>
          <w:color w:val="auto"/>
          <w:sz w:val="24"/>
          <w:szCs w:val="21"/>
        </w:rPr>
      </w:pPr>
      <w:r>
        <w:rPr>
          <w:rFonts w:ascii="宋体" w:hAnsi="宋体" w:eastAsia="宋体" w:cs="宋体"/>
          <w:color w:val="auto"/>
          <w:sz w:val="24"/>
          <w:szCs w:val="21"/>
        </w:rPr>
        <w:t>2.本公司参加本项目采购活动由本企业提供服务。</w:t>
      </w:r>
    </w:p>
    <w:p>
      <w:pPr>
        <w:spacing w:line="360" w:lineRule="auto"/>
        <w:ind w:left="602"/>
        <w:rPr>
          <w:rFonts w:ascii="宋体" w:hAnsi="宋体" w:eastAsia="宋体" w:cs="宋体"/>
          <w:color w:val="auto"/>
          <w:sz w:val="24"/>
          <w:szCs w:val="21"/>
        </w:rPr>
      </w:pPr>
      <w:r>
        <w:rPr>
          <w:rFonts w:ascii="宋体" w:hAnsi="宋体" w:eastAsia="宋体" w:cs="宋体"/>
          <w:color w:val="auto"/>
          <w:sz w:val="24"/>
          <w:szCs w:val="21"/>
        </w:rPr>
        <w:t>本公司对上述声明的真实性负责。如有虚假，将依法承担相应责任。</w:t>
      </w: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ind w:left="4230"/>
        <w:rPr>
          <w:rFonts w:hint="eastAsia" w:ascii="宋体" w:hAnsi="宋体" w:eastAsia="宋体" w:cs="宋体"/>
          <w:color w:val="auto"/>
          <w:sz w:val="24"/>
          <w:szCs w:val="21"/>
        </w:rPr>
      </w:pPr>
      <w:r>
        <w:rPr>
          <w:rFonts w:hint="eastAsia" w:ascii="宋体" w:hAnsi="宋体" w:eastAsia="宋体" w:cs="宋体"/>
          <w:color w:val="auto"/>
          <w:sz w:val="24"/>
          <w:szCs w:val="21"/>
        </w:rPr>
        <w:t>报价单位盖章：</w:t>
      </w:r>
    </w:p>
    <w:p>
      <w:pPr>
        <w:spacing w:line="360" w:lineRule="auto"/>
        <w:ind w:left="4296"/>
        <w:rPr>
          <w:rFonts w:ascii="宋体" w:hAnsi="宋体" w:eastAsia="宋体" w:cs="宋体"/>
          <w:color w:val="auto"/>
          <w:sz w:val="24"/>
          <w:szCs w:val="21"/>
        </w:rPr>
      </w:pPr>
      <w:r>
        <w:rPr>
          <w:rFonts w:ascii="宋体" w:hAnsi="宋体" w:eastAsia="宋体" w:cs="宋体"/>
          <w:color w:val="auto"/>
          <w:sz w:val="24"/>
          <w:szCs w:val="21"/>
        </w:rPr>
        <w:t>日期：</w:t>
      </w:r>
    </w:p>
    <w:p>
      <w:pPr>
        <w:spacing w:line="282" w:lineRule="auto"/>
        <w:rPr>
          <w:rFonts w:ascii="Times New Roman" w:hAnsi="Times New Roman" w:eastAsia="宋体" w:cs="Times New Roman"/>
          <w:color w:val="auto"/>
          <w:szCs w:val="21"/>
        </w:rPr>
      </w:pPr>
    </w:p>
    <w:p>
      <w:pPr>
        <w:spacing w:line="283" w:lineRule="auto"/>
        <w:rPr>
          <w:rFonts w:ascii="Times New Roman" w:hAnsi="Times New Roman" w:eastAsia="宋体" w:cs="Times New Roman"/>
          <w:color w:val="auto"/>
          <w:szCs w:val="21"/>
        </w:rPr>
      </w:pPr>
    </w:p>
    <w:p>
      <w:pPr>
        <w:rPr>
          <w:rFonts w:ascii="Times New Roman" w:hAnsi="Times New Roman" w:eastAsia="宋体" w:cs="Times New Roman"/>
          <w:color w:val="auto"/>
          <w:sz w:val="24"/>
          <w:szCs w:val="21"/>
        </w:rPr>
      </w:pPr>
      <w:r>
        <w:rPr>
          <w:rFonts w:hint="eastAsia" w:ascii="Times New Roman" w:hAnsi="Times New Roman" w:eastAsia="宋体" w:cs="Times New Roman"/>
          <w:color w:val="auto"/>
          <w:sz w:val="24"/>
          <w:szCs w:val="21"/>
        </w:rPr>
        <w:br w:type="page"/>
      </w:r>
    </w:p>
    <w:p>
      <w:pPr>
        <w:spacing w:line="360" w:lineRule="auto"/>
        <w:jc w:val="center"/>
        <w:rPr>
          <w:rFonts w:ascii="宋体" w:hAnsi="宋体" w:eastAsia="宋体" w:cs="宋体"/>
          <w:color w:val="auto"/>
          <w:sz w:val="32"/>
          <w:szCs w:val="32"/>
          <w14:textOutline w14:w="4356" w14:cap="flat" w14:cmpd="sng">
            <w14:solidFill>
              <w14:srgbClr w14:val="000000"/>
            </w14:solidFill>
            <w14:prstDash w14:val="solid"/>
            <w14:miter w14:val="0"/>
          </w14:textOutline>
        </w:rPr>
      </w:pPr>
      <w:r>
        <w:rPr>
          <w:rFonts w:ascii="宋体" w:hAnsi="宋体" w:eastAsia="宋体" w:cs="宋体"/>
          <w:color w:val="auto"/>
          <w:sz w:val="32"/>
          <w:szCs w:val="32"/>
          <w14:textOutline w14:w="4356" w14:cap="flat" w14:cmpd="sng">
            <w14:solidFill>
              <w14:srgbClr w14:val="000000"/>
            </w14:solidFill>
            <w14:prstDash w14:val="solid"/>
            <w14:miter w14:val="0"/>
          </w14:textOutline>
        </w:rPr>
        <w:t>无重大违法记录声明函</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本公司对上述声明的真实性负责。如有虚假，将依法承担相应责任。</w:t>
      </w:r>
    </w:p>
    <w:p>
      <w:pPr>
        <w:spacing w:line="360" w:lineRule="auto"/>
        <w:rPr>
          <w:rFonts w:ascii="Times New Roman" w:hAnsi="Times New Roman" w:eastAsia="宋体" w:cs="Times New Roman"/>
          <w:color w:val="auto"/>
          <w:szCs w:val="21"/>
        </w:rPr>
      </w:pPr>
    </w:p>
    <w:p>
      <w:pPr>
        <w:spacing w:line="360" w:lineRule="auto"/>
        <w:ind w:left="4230"/>
        <w:rPr>
          <w:rFonts w:hint="eastAsia" w:ascii="宋体" w:hAnsi="宋体" w:eastAsia="宋体" w:cs="宋体"/>
          <w:color w:val="auto"/>
          <w:sz w:val="24"/>
          <w:szCs w:val="21"/>
        </w:rPr>
      </w:pPr>
      <w:r>
        <w:rPr>
          <w:rFonts w:hint="eastAsia" w:ascii="宋体" w:hAnsi="宋体" w:eastAsia="宋体" w:cs="宋体"/>
          <w:color w:val="auto"/>
          <w:sz w:val="24"/>
          <w:szCs w:val="21"/>
        </w:rPr>
        <w:t>报价单位盖章：</w:t>
      </w:r>
    </w:p>
    <w:p>
      <w:pPr>
        <w:spacing w:line="360" w:lineRule="auto"/>
        <w:ind w:left="4296"/>
        <w:rPr>
          <w:rFonts w:ascii="宋体" w:hAnsi="宋体" w:eastAsia="宋体" w:cs="宋体"/>
          <w:color w:val="auto"/>
          <w:sz w:val="24"/>
          <w:szCs w:val="21"/>
        </w:rPr>
      </w:pPr>
      <w:r>
        <w:rPr>
          <w:rFonts w:ascii="宋体" w:hAnsi="宋体" w:eastAsia="宋体" w:cs="宋体"/>
          <w:color w:val="auto"/>
          <w:sz w:val="24"/>
          <w:szCs w:val="21"/>
        </w:rPr>
        <w:t>日期：</w:t>
      </w: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jc w:val="center"/>
        <w:rPr>
          <w:rFonts w:ascii="宋体" w:hAnsi="宋体" w:eastAsia="宋体" w:cs="宋体"/>
          <w:color w:val="auto"/>
          <w:sz w:val="32"/>
          <w:szCs w:val="32"/>
          <w14:textOutline w14:w="4356" w14:cap="flat" w14:cmpd="sng">
            <w14:solidFill>
              <w14:srgbClr w14:val="000000"/>
            </w14:solidFill>
            <w14:prstDash w14:val="solid"/>
            <w14:miter w14:val="0"/>
          </w14:textOutline>
        </w:rPr>
      </w:pPr>
      <w:r>
        <w:rPr>
          <w:rFonts w:ascii="宋体" w:hAnsi="宋体" w:eastAsia="宋体" w:cs="宋体"/>
          <w:color w:val="auto"/>
          <w:sz w:val="32"/>
          <w:szCs w:val="32"/>
          <w14:textOutline w14:w="4356" w14:cap="flat" w14:cmpd="sng">
            <w14:solidFill>
              <w14:srgbClr w14:val="000000"/>
            </w14:solidFill>
            <w14:prstDash w14:val="solid"/>
            <w14:miter w14:val="0"/>
          </w14:textOutline>
        </w:rPr>
        <w:t>无不良信用记录声明函</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本公司郑重声明，我公司无以下不良信用记录情形：</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1、公司被人民法院列入失信被执行人；</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2、公司、法定代表人或拟派项目经理</w:t>
      </w:r>
      <w:r>
        <w:rPr>
          <w:rFonts w:hint="eastAsia" w:ascii="宋体" w:hAnsi="宋体" w:eastAsia="宋体" w:cs="宋体"/>
          <w:color w:val="auto"/>
          <w:sz w:val="24"/>
          <w:szCs w:val="21"/>
        </w:rPr>
        <w:t>（</w:t>
      </w:r>
      <w:r>
        <w:rPr>
          <w:rFonts w:ascii="宋体" w:hAnsi="宋体" w:eastAsia="宋体" w:cs="宋体"/>
          <w:color w:val="auto"/>
          <w:sz w:val="24"/>
          <w:szCs w:val="21"/>
        </w:rPr>
        <w:t>项目负责人</w:t>
      </w:r>
      <w:r>
        <w:rPr>
          <w:rFonts w:hint="eastAsia" w:ascii="宋体" w:hAnsi="宋体" w:eastAsia="宋体" w:cs="宋体"/>
          <w:color w:val="auto"/>
          <w:sz w:val="24"/>
          <w:szCs w:val="21"/>
        </w:rPr>
        <w:t>）</w:t>
      </w:r>
      <w:r>
        <w:rPr>
          <w:rFonts w:ascii="宋体" w:hAnsi="宋体" w:eastAsia="宋体" w:cs="宋体"/>
          <w:color w:val="auto"/>
          <w:sz w:val="24"/>
          <w:szCs w:val="21"/>
        </w:rPr>
        <w:t>被人民检察院列入行贿犯罪档案；</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3、公司被工商行政管理部门列入企业经营异常名录；</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4、公司被税务部门列入重大税收违法案件当事人名单；</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5、公司被政府采购监管部门列入政府采购严重违法失信行为记录名单。</w:t>
      </w:r>
    </w:p>
    <w:p>
      <w:pPr>
        <w:spacing w:line="360" w:lineRule="auto"/>
        <w:ind w:left="86" w:right="121" w:firstLine="474"/>
        <w:rPr>
          <w:rFonts w:ascii="宋体" w:hAnsi="宋体" w:eastAsia="宋体" w:cs="宋体"/>
          <w:color w:val="auto"/>
          <w:sz w:val="24"/>
          <w:szCs w:val="21"/>
        </w:rPr>
      </w:pPr>
      <w:r>
        <w:rPr>
          <w:rFonts w:ascii="宋体" w:hAnsi="宋体" w:eastAsia="宋体" w:cs="宋体"/>
          <w:color w:val="auto"/>
          <w:sz w:val="24"/>
          <w:szCs w:val="21"/>
        </w:rPr>
        <w:t>我公司已就上述不良信用行为按照</w:t>
      </w:r>
      <w:r>
        <w:rPr>
          <w:rFonts w:hint="eastAsia" w:ascii="宋体" w:hAnsi="宋体" w:eastAsia="宋体" w:cs="宋体"/>
          <w:color w:val="auto"/>
          <w:sz w:val="24"/>
          <w:szCs w:val="21"/>
        </w:rPr>
        <w:t>询价函</w:t>
      </w:r>
      <w:r>
        <w:rPr>
          <w:rFonts w:ascii="宋体" w:hAnsi="宋体" w:eastAsia="宋体" w:cs="宋体"/>
          <w:color w:val="auto"/>
          <w:sz w:val="24"/>
          <w:szCs w:val="21"/>
        </w:rPr>
        <w:t>规定进行了查询。我公司承诺：合同签订前，若我公司具有不良信用记录情形，贵方可取消我公司</w:t>
      </w:r>
      <w:r>
        <w:rPr>
          <w:rFonts w:hint="eastAsia" w:ascii="宋体" w:hAnsi="宋体" w:eastAsia="宋体" w:cs="宋体"/>
          <w:color w:val="auto"/>
          <w:sz w:val="24"/>
          <w:szCs w:val="21"/>
        </w:rPr>
        <w:t>成交</w:t>
      </w:r>
      <w:r>
        <w:rPr>
          <w:rFonts w:ascii="宋体" w:hAnsi="宋体" w:eastAsia="宋体" w:cs="宋体"/>
          <w:color w:val="auto"/>
          <w:sz w:val="24"/>
          <w:szCs w:val="21"/>
        </w:rPr>
        <w:t>资格或者不授予合同，所有责任由我公司自行承担。同时，我公司愿意无条件接受监管部门的调查处理。</w:t>
      </w:r>
    </w:p>
    <w:p>
      <w:pPr>
        <w:spacing w:line="360" w:lineRule="auto"/>
        <w:ind w:left="4230"/>
        <w:rPr>
          <w:rFonts w:ascii="宋体" w:hAnsi="宋体" w:eastAsia="宋体" w:cs="宋体"/>
          <w:color w:val="auto"/>
          <w:sz w:val="24"/>
          <w:szCs w:val="21"/>
        </w:rPr>
      </w:pPr>
    </w:p>
    <w:p>
      <w:pPr>
        <w:spacing w:line="360" w:lineRule="auto"/>
        <w:ind w:left="4230"/>
        <w:rPr>
          <w:rFonts w:hint="eastAsia" w:ascii="宋体" w:hAnsi="宋体" w:eastAsia="宋体" w:cs="宋体"/>
          <w:color w:val="auto"/>
          <w:sz w:val="24"/>
          <w:szCs w:val="21"/>
        </w:rPr>
      </w:pPr>
      <w:r>
        <w:rPr>
          <w:rFonts w:hint="eastAsia" w:ascii="宋体" w:hAnsi="宋体" w:eastAsia="宋体" w:cs="宋体"/>
          <w:color w:val="auto"/>
          <w:sz w:val="24"/>
          <w:szCs w:val="21"/>
        </w:rPr>
        <w:t>报价单位盖章：</w:t>
      </w:r>
    </w:p>
    <w:p>
      <w:pPr>
        <w:spacing w:line="360" w:lineRule="auto"/>
        <w:ind w:left="4296"/>
        <w:rPr>
          <w:rFonts w:ascii="宋体" w:hAnsi="宋体" w:eastAsia="宋体" w:cs="宋体"/>
          <w:color w:val="auto"/>
          <w:sz w:val="24"/>
          <w:szCs w:val="21"/>
        </w:rPr>
      </w:pPr>
      <w:r>
        <w:rPr>
          <w:rFonts w:ascii="宋体" w:hAnsi="宋体" w:eastAsia="宋体" w:cs="宋体"/>
          <w:color w:val="auto"/>
          <w:sz w:val="24"/>
          <w:szCs w:val="21"/>
        </w:rPr>
        <w:t>日期：</w:t>
      </w:r>
    </w:p>
    <w:p>
      <w:pPr>
        <w:spacing w:line="360" w:lineRule="auto"/>
        <w:jc w:val="center"/>
        <w:rPr>
          <w:rFonts w:hint="eastAsia" w:ascii="仿宋" w:hAnsi="仿宋" w:eastAsia="仿宋" w:cs="仿宋"/>
          <w:b/>
          <w:color w:val="auto"/>
          <w:sz w:val="48"/>
          <w:szCs w:val="28"/>
          <w:lang w:val="en-US" w:eastAsia="zh-CN"/>
        </w:rPr>
      </w:pPr>
    </w:p>
    <w:p>
      <w:pPr>
        <w:widowControl w:val="0"/>
        <w:spacing w:after="120" w:line="240" w:lineRule="auto"/>
        <w:ind w:left="0" w:leftChars="0" w:firstLine="0" w:firstLineChars="0"/>
        <w:jc w:val="both"/>
        <w:rPr>
          <w:rFonts w:hint="default" w:ascii="楷体_GB2312" w:hAnsi="Times New Roman" w:eastAsia="楷体_GB2312" w:cs="Times New Roman"/>
          <w:color w:val="auto"/>
          <w:kern w:val="2"/>
          <w:sz w:val="32"/>
          <w:szCs w:val="20"/>
          <w:lang w:val="en-US" w:eastAsia="zh-CN" w:bidi="ar-SA"/>
        </w:rPr>
      </w:pPr>
    </w:p>
    <w:p>
      <w:pP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评分办法（</w:t>
      </w:r>
      <w:r>
        <w:rPr>
          <w:rFonts w:hint="eastAsia" w:ascii="仿宋" w:hAnsi="仿宋" w:eastAsia="仿宋" w:cs="仿宋"/>
          <w:b/>
          <w:bCs/>
          <w:color w:val="auto"/>
          <w:sz w:val="24"/>
          <w:szCs w:val="24"/>
        </w:rPr>
        <w:t>附件</w:t>
      </w:r>
      <w:r>
        <w:rPr>
          <w:rFonts w:hint="eastAsia" w:ascii="仿宋" w:hAnsi="仿宋" w:eastAsia="仿宋" w:cs="仿宋"/>
          <w:b/>
          <w:bCs/>
          <w:color w:val="auto"/>
          <w:sz w:val="24"/>
          <w:szCs w:val="24"/>
          <w:lang w:val="en-US" w:eastAsia="zh-CN"/>
        </w:rPr>
        <w:t>3）</w:t>
      </w:r>
    </w:p>
    <w:p>
      <w:pPr>
        <w:jc w:val="center"/>
        <w:rPr>
          <w:rFonts w:hint="eastAsia" w:ascii="仿宋" w:hAnsi="仿宋" w:eastAsia="仿宋" w:cs="宋体"/>
          <w:b/>
          <w:bCs/>
          <w:color w:val="auto"/>
          <w:kern w:val="0"/>
          <w:sz w:val="36"/>
          <w:szCs w:val="36"/>
        </w:rPr>
      </w:pPr>
      <w:r>
        <w:rPr>
          <w:rFonts w:hint="eastAsia" w:ascii="仿宋" w:hAnsi="仿宋" w:eastAsia="仿宋" w:cs="宋体"/>
          <w:b/>
          <w:bCs/>
          <w:color w:val="auto"/>
          <w:kern w:val="0"/>
          <w:sz w:val="36"/>
          <w:szCs w:val="36"/>
        </w:rPr>
        <w:t>评 分 办 法</w:t>
      </w:r>
    </w:p>
    <w:tbl>
      <w:tblPr>
        <w:tblStyle w:val="3"/>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633"/>
        <w:gridCol w:w="563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dxa"/>
          </w:tcPr>
          <w:p>
            <w:pPr>
              <w:spacing w:line="500" w:lineRule="exact"/>
              <w:jc w:val="center"/>
              <w:rPr>
                <w:rFonts w:ascii="宋体" w:hAnsi="宋体" w:eastAsia="宋体" w:cs="Times New Roman"/>
                <w:color w:val="auto"/>
                <w:szCs w:val="21"/>
              </w:rPr>
            </w:pPr>
            <w:r>
              <w:rPr>
                <w:rFonts w:hint="eastAsia" w:ascii="宋体" w:hAnsi="宋体" w:eastAsia="宋体" w:cs="Times New Roman"/>
                <w:color w:val="auto"/>
                <w:szCs w:val="21"/>
              </w:rPr>
              <w:t>评审项目</w:t>
            </w:r>
          </w:p>
        </w:tc>
        <w:tc>
          <w:tcPr>
            <w:tcW w:w="1633" w:type="dxa"/>
            <w:tcBorders>
              <w:bottom w:val="single" w:color="auto" w:sz="4" w:space="0"/>
            </w:tcBorders>
          </w:tcPr>
          <w:p>
            <w:pPr>
              <w:spacing w:line="500" w:lineRule="exact"/>
              <w:ind w:firstLine="105" w:firstLineChars="50"/>
              <w:rPr>
                <w:rFonts w:ascii="宋体" w:hAnsi="宋体" w:eastAsia="宋体" w:cs="Times New Roman"/>
                <w:color w:val="auto"/>
                <w:szCs w:val="21"/>
              </w:rPr>
            </w:pPr>
            <w:r>
              <w:rPr>
                <w:rFonts w:hint="eastAsia" w:ascii="宋体" w:hAnsi="宋体" w:eastAsia="宋体" w:cs="Times New Roman"/>
                <w:color w:val="auto"/>
                <w:szCs w:val="21"/>
              </w:rPr>
              <w:t>分值</w:t>
            </w:r>
          </w:p>
        </w:tc>
        <w:tc>
          <w:tcPr>
            <w:tcW w:w="5633" w:type="dxa"/>
          </w:tcPr>
          <w:p>
            <w:pPr>
              <w:spacing w:line="500" w:lineRule="exact"/>
              <w:ind w:firstLine="1890" w:firstLineChars="900"/>
              <w:rPr>
                <w:rFonts w:hint="eastAsia" w:ascii="宋体" w:hAnsi="宋体" w:eastAsia="宋体" w:cs="Times New Roman"/>
                <w:color w:val="auto"/>
                <w:szCs w:val="21"/>
              </w:rPr>
            </w:pPr>
            <w:r>
              <w:rPr>
                <w:rFonts w:hint="eastAsia" w:ascii="宋体" w:hAnsi="宋体" w:eastAsia="宋体" w:cs="Times New Roman"/>
                <w:color w:val="auto"/>
                <w:szCs w:val="21"/>
              </w:rPr>
              <w:t>评审内容及标准</w:t>
            </w:r>
          </w:p>
        </w:tc>
        <w:tc>
          <w:tcPr>
            <w:tcW w:w="878" w:type="dxa"/>
          </w:tcPr>
          <w:p>
            <w:pPr>
              <w:tabs>
                <w:tab w:val="left" w:pos="657"/>
              </w:tabs>
              <w:spacing w:line="50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58" w:type="dxa"/>
            <w:vMerge w:val="restart"/>
            <w:tcBorders>
              <w:right w:val="single" w:color="auto" w:sz="4" w:space="0"/>
            </w:tcBorders>
            <w:vAlign w:val="center"/>
          </w:tcPr>
          <w:p>
            <w:pPr>
              <w:spacing w:line="500" w:lineRule="exac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技术分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90分</w:t>
            </w:r>
            <w:r>
              <w:rPr>
                <w:rFonts w:hint="eastAsia" w:ascii="宋体" w:hAnsi="宋体" w:eastAsia="宋体" w:cs="Times New Roman"/>
                <w:color w:val="auto"/>
                <w:szCs w:val="21"/>
                <w:lang w:eastAsia="zh-CN"/>
              </w:rPr>
              <w:t>）</w:t>
            </w:r>
          </w:p>
        </w:tc>
        <w:tc>
          <w:tcPr>
            <w:tcW w:w="1633" w:type="dxa"/>
            <w:tcBorders>
              <w:top w:val="single" w:color="auto" w:sz="4" w:space="0"/>
              <w:left w:val="single" w:color="auto" w:sz="4" w:space="0"/>
              <w:right w:val="single" w:color="auto" w:sz="4" w:space="0"/>
            </w:tcBorders>
            <w:vAlign w:val="center"/>
          </w:tcPr>
          <w:p>
            <w:pPr>
              <w:spacing w:line="5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技术服务水平</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56分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 xml:space="preserve"> </w:t>
            </w:r>
          </w:p>
        </w:tc>
        <w:tc>
          <w:tcPr>
            <w:tcW w:w="5633" w:type="dxa"/>
            <w:tcBorders>
              <w:left w:val="single" w:color="auto" w:sz="4" w:space="0"/>
            </w:tcBorders>
          </w:tcPr>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hint="eastAsia" w:ascii="Times New Roman" w:hAnsi="Times New Roman" w:eastAsia="宋体" w:cs="Times New Roman"/>
                <w:b/>
                <w:bCs/>
                <w:color w:val="auto"/>
                <w:szCs w:val="21"/>
              </w:rPr>
              <w:t>安全鉴定工作大纲</w:t>
            </w:r>
            <w:r>
              <w:rPr>
                <w:rFonts w:hint="eastAsia" w:ascii="Times New Roman" w:hAnsi="Times New Roman" w:eastAsia="宋体" w:cs="Times New Roman"/>
                <w:color w:val="auto"/>
                <w:szCs w:val="21"/>
              </w:rPr>
              <w:t>：根据安全鉴定工作方法的合理性，技术方案的完善性，实施进度安排的可行性，项目实际需求等内容进行评审。</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hint="eastAsia" w:ascii="Times New Roman" w:hAnsi="Times New Roman" w:eastAsia="宋体" w:cs="Times New Roman"/>
                <w:b/>
                <w:bCs/>
                <w:color w:val="auto"/>
                <w:szCs w:val="21"/>
              </w:rPr>
              <w:t>确保安全鉴定质量的技术组织措施</w:t>
            </w:r>
            <w:r>
              <w:rPr>
                <w:rFonts w:hint="eastAsia" w:ascii="Times New Roman" w:hAnsi="Times New Roman" w:eastAsia="宋体" w:cs="Times New Roman"/>
                <w:color w:val="auto"/>
                <w:szCs w:val="21"/>
              </w:rPr>
              <w:t>：专门的质量技术管理班子和制度合理，质量技术保证措施全面、自控体系 完整、有效；方案完善、内容详细，确保质量验收合格等方面进行评审。</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hint="eastAsia" w:ascii="Times New Roman" w:hAnsi="Times New Roman" w:eastAsia="宋体" w:cs="Times New Roman"/>
                <w:b/>
                <w:bCs/>
                <w:color w:val="auto"/>
                <w:szCs w:val="21"/>
              </w:rPr>
              <w:t>现场服务（安全）保障措施和应急预案</w:t>
            </w:r>
            <w:r>
              <w:rPr>
                <w:rFonts w:hint="eastAsia" w:ascii="Times New Roman" w:hAnsi="Times New Roman" w:eastAsia="宋体" w:cs="Times New Roman"/>
                <w:color w:val="auto"/>
                <w:szCs w:val="21"/>
              </w:rPr>
              <w:t>：根据鉴定期间的安全保证措施以及针对鉴定提出相关方案及措施；编制完善，内容详细清晰，符合本项目安全鉴定实际要求等方面进行评审。</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w:t>
            </w:r>
            <w:r>
              <w:rPr>
                <w:rFonts w:hint="eastAsia" w:ascii="Times New Roman" w:hAnsi="Times New Roman" w:eastAsia="宋体" w:cs="Times New Roman"/>
                <w:b/>
                <w:bCs/>
                <w:color w:val="auto"/>
                <w:szCs w:val="21"/>
              </w:rPr>
              <w:t>现场服务（文明）保障措施和应急预案</w:t>
            </w:r>
            <w:r>
              <w:rPr>
                <w:rFonts w:hint="eastAsia" w:ascii="Times New Roman" w:hAnsi="Times New Roman" w:eastAsia="宋体" w:cs="Times New Roman"/>
                <w:color w:val="auto"/>
                <w:szCs w:val="21"/>
              </w:rPr>
              <w:t>：根据鉴定期间的文明保证措施以及针对鉴定提出相关方案及措施；编制完善，内容详细清晰，符合本项目安全鉴定实际要求等方面进行评审。</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w:t>
            </w:r>
            <w:r>
              <w:rPr>
                <w:rFonts w:hint="eastAsia" w:ascii="Times New Roman" w:hAnsi="Times New Roman" w:eastAsia="宋体" w:cs="Times New Roman"/>
                <w:b/>
                <w:bCs/>
                <w:color w:val="auto"/>
                <w:szCs w:val="21"/>
              </w:rPr>
              <w:t>安全鉴定工作中的重点和难点及保证措施</w:t>
            </w:r>
            <w:r>
              <w:rPr>
                <w:rFonts w:hint="eastAsia" w:ascii="Times New Roman" w:hAnsi="Times New Roman" w:eastAsia="宋体" w:cs="Times New Roman"/>
                <w:color w:val="auto"/>
                <w:szCs w:val="21"/>
              </w:rPr>
              <w:t>：根据供应商提出的重难点分析及对应保证措施的详细性、完善性、针对性、可行性进行评审。</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6、</w:t>
            </w:r>
            <w:r>
              <w:rPr>
                <w:rFonts w:hint="eastAsia" w:ascii="Times New Roman" w:hAnsi="Times New Roman" w:eastAsia="宋体" w:cs="Times New Roman"/>
                <w:b/>
                <w:bCs/>
                <w:color w:val="auto"/>
                <w:szCs w:val="21"/>
              </w:rPr>
              <w:t>供应商针对本项目提出的合理化建议</w:t>
            </w:r>
            <w:r>
              <w:rPr>
                <w:rFonts w:hint="eastAsia" w:ascii="Times New Roman" w:hAnsi="Times New Roman" w:eastAsia="宋体" w:cs="Times New Roman"/>
                <w:color w:val="auto"/>
                <w:szCs w:val="21"/>
              </w:rPr>
              <w:t>：针对本项目提出的合理化建议，且有助于项目顺利实施及维护。</w:t>
            </w:r>
          </w:p>
          <w:p>
            <w:pPr>
              <w:keepNext w:val="0"/>
              <w:keepLines w:val="0"/>
              <w:widowControl/>
              <w:suppressLineNumbers w:val="0"/>
              <w:jc w:val="left"/>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7、供应商针对本项目提出的服务承诺：</w:t>
            </w:r>
            <w:r>
              <w:rPr>
                <w:rFonts w:hint="eastAsia" w:ascii="Times New Roman" w:hAnsi="Times New Roman" w:eastAsia="宋体" w:cs="Times New Roman"/>
                <w:b w:val="0"/>
                <w:bCs w:val="0"/>
                <w:color w:val="auto"/>
                <w:szCs w:val="21"/>
                <w:lang w:val="en-US" w:eastAsia="zh-CN"/>
              </w:rPr>
              <w:t>针对本项目提出的服务承诺需包含鉴定完成后的涵闸维修保养指导等方面，并承诺鉴定后保证通过评审。</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以上</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 xml:space="preserve"> 个小项，每项各 </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 xml:space="preserve"> 分，总计</w:t>
            </w:r>
            <w:r>
              <w:rPr>
                <w:rFonts w:hint="eastAsia" w:ascii="Times New Roman" w:hAnsi="Times New Roman" w:eastAsia="宋体" w:cs="Times New Roman"/>
                <w:color w:val="auto"/>
                <w:szCs w:val="21"/>
                <w:lang w:val="en-US" w:eastAsia="zh-CN"/>
              </w:rPr>
              <w:t>56</w:t>
            </w:r>
            <w:r>
              <w:rPr>
                <w:rFonts w:hint="eastAsia" w:ascii="Times New Roman" w:hAnsi="Times New Roman" w:eastAsia="宋体" w:cs="Times New Roman"/>
                <w:color w:val="auto"/>
                <w:szCs w:val="21"/>
              </w:rPr>
              <w:t>分。 评委根据供应商提供的以上内容对每项进行综合评分：</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（1）项目实施方案覆盖全面、要点突出、针对性强，内容完整详实，表述清晰，与本项目实际需求适应度高，利于项目实施的得 </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 xml:space="preserve"> 分；</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（2）有针对性，内容完整详实，表述清晰，与本项目实际要求有适应度，符合项目实际要求的得 </w:t>
            </w:r>
            <w:r>
              <w:rPr>
                <w:rFonts w:hint="eastAsia" w:ascii="Times New Roman" w:hAnsi="Times New Roman" w:eastAsia="宋体" w:cs="Times New Roman"/>
                <w:color w:val="auto"/>
                <w:szCs w:val="21"/>
                <w:lang w:val="en-US" w:eastAsia="zh-CN"/>
              </w:rPr>
              <w:t>6-7</w:t>
            </w:r>
            <w:r>
              <w:rPr>
                <w:rFonts w:hint="eastAsia" w:ascii="Times New Roman" w:hAnsi="Times New Roman" w:eastAsia="宋体" w:cs="Times New Roman"/>
                <w:color w:val="auto"/>
                <w:szCs w:val="21"/>
              </w:rPr>
              <w:t xml:space="preserve"> 分；</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（3）项目实施方案覆盖不全面，要点突出不够明显，针对性不够强，具体细节有待完善的得 </w:t>
            </w:r>
            <w:r>
              <w:rPr>
                <w:rFonts w:hint="eastAsia" w:ascii="Times New Roman" w:hAnsi="Times New Roman" w:eastAsia="宋体" w:cs="Times New Roman"/>
                <w:color w:val="auto"/>
                <w:szCs w:val="21"/>
                <w:lang w:val="en-US" w:eastAsia="zh-CN"/>
              </w:rPr>
              <w:t>4-5</w:t>
            </w:r>
            <w:r>
              <w:rPr>
                <w:rFonts w:hint="eastAsia" w:ascii="Times New Roman" w:hAnsi="Times New Roman" w:eastAsia="宋体" w:cs="Times New Roman"/>
                <w:color w:val="auto"/>
                <w:szCs w:val="21"/>
              </w:rPr>
              <w:t xml:space="preserve"> 分；</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（4）项目实施方案描述不清，前后矛盾，部分内容缺失，无套用、冒用其他项目的情况得 2</w:t>
            </w: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rPr>
              <w:t xml:space="preserve"> 分；</w:t>
            </w:r>
          </w:p>
          <w:p>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（5）项目实施方案内容混乱，存在套用、冒用其他项目的情况的，得 1 分；</w:t>
            </w:r>
          </w:p>
          <w:p>
            <w:pPr>
              <w:rPr>
                <w:rFonts w:ascii="宋体" w:hAnsi="宋体" w:eastAsia="宋体" w:cs="Times New Roman"/>
                <w:color w:val="auto"/>
                <w:szCs w:val="21"/>
              </w:rPr>
            </w:pPr>
            <w:r>
              <w:rPr>
                <w:rFonts w:hint="eastAsia" w:ascii="Times New Roman" w:hAnsi="Times New Roman" w:eastAsia="宋体" w:cs="Times New Roman"/>
                <w:color w:val="auto"/>
                <w:szCs w:val="21"/>
              </w:rPr>
              <w:t>（6）项目实施方案未提供的不得分。</w:t>
            </w:r>
          </w:p>
        </w:tc>
        <w:tc>
          <w:tcPr>
            <w:tcW w:w="878" w:type="dxa"/>
          </w:tcPr>
          <w:p>
            <w:pPr>
              <w:spacing w:line="5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58" w:type="dxa"/>
            <w:vMerge w:val="continue"/>
          </w:tcPr>
          <w:p>
            <w:pPr>
              <w:spacing w:line="500" w:lineRule="exact"/>
              <w:jc w:val="center"/>
              <w:rPr>
                <w:rFonts w:ascii="宋体" w:hAnsi="宋体" w:eastAsia="宋体" w:cs="Times New Roman"/>
                <w:color w:val="auto"/>
                <w:szCs w:val="21"/>
              </w:rPr>
            </w:pPr>
          </w:p>
        </w:tc>
        <w:tc>
          <w:tcPr>
            <w:tcW w:w="1633" w:type="dxa"/>
            <w:vAlign w:val="center"/>
          </w:tcPr>
          <w:p>
            <w:pPr>
              <w:spacing w:line="500" w:lineRule="exact"/>
              <w:ind w:firstLine="105" w:firstLineChars="50"/>
              <w:rPr>
                <w:rFonts w:hint="eastAsia" w:ascii="宋体" w:hAnsi="宋体" w:eastAsia="宋体" w:cs="Times New Roman"/>
                <w:color w:val="auto"/>
                <w:szCs w:val="21"/>
              </w:rPr>
            </w:pPr>
            <w:r>
              <w:rPr>
                <w:rFonts w:hint="eastAsia" w:ascii="宋体" w:hAnsi="宋体" w:eastAsia="宋体" w:cs="Times New Roman"/>
                <w:color w:val="auto"/>
                <w:szCs w:val="21"/>
              </w:rPr>
              <w:t>履约能力</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34分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 xml:space="preserve">   </w:t>
            </w:r>
          </w:p>
        </w:tc>
        <w:tc>
          <w:tcPr>
            <w:tcW w:w="5633" w:type="dxa"/>
          </w:tcPr>
          <w:p>
            <w:pPr>
              <w:rPr>
                <w:rFonts w:hint="eastAsia" w:ascii="宋体" w:hAnsi="宋体" w:eastAsia="宋体" w:cs="宋体"/>
                <w:b/>
                <w:bCs/>
                <w:color w:val="auto"/>
                <w:kern w:val="0"/>
                <w:szCs w:val="24"/>
                <w:lang w:val="en-US" w:eastAsia="zh-CN"/>
              </w:rPr>
            </w:pPr>
            <w:r>
              <w:rPr>
                <w:rFonts w:hint="eastAsia" w:ascii="宋体" w:hAnsi="宋体" w:eastAsia="宋体" w:cs="宋体"/>
                <w:b/>
                <w:bCs/>
                <w:color w:val="auto"/>
                <w:kern w:val="0"/>
                <w:szCs w:val="24"/>
                <w:lang w:val="en-US" w:eastAsia="zh-CN"/>
              </w:rPr>
              <w:t>一、企业综合实力（9分）</w:t>
            </w:r>
          </w:p>
          <w:p>
            <w:pPr>
              <w:jc w:val="left"/>
              <w:rPr>
                <w:rFonts w:hint="eastAsia" w:ascii="宋体" w:hAnsi="宋体" w:eastAsia="宋体" w:cs="宋体"/>
                <w:color w:val="auto"/>
                <w:kern w:val="0"/>
                <w:sz w:val="20"/>
                <w:szCs w:val="20"/>
                <w:lang w:val="en-US" w:eastAsia="zh-CN"/>
              </w:rPr>
            </w:pPr>
            <w:r>
              <w:rPr>
                <w:rFonts w:hint="eastAsia" w:ascii="宋体" w:hAnsi="宋体" w:eastAsia="宋体" w:cs="宋体"/>
                <w:bCs/>
                <w:color w:val="auto"/>
                <w:szCs w:val="21"/>
                <w:lang w:eastAsia="zh-CN"/>
              </w:rPr>
              <w:t>供应商</w:t>
            </w:r>
            <w:r>
              <w:rPr>
                <w:rFonts w:hint="eastAsia" w:ascii="宋体" w:hAnsi="宋体" w:eastAsia="宋体" w:cs="宋体"/>
                <w:bCs/>
                <w:color w:val="auto"/>
                <w:szCs w:val="21"/>
              </w:rPr>
              <w:t>具有</w:t>
            </w:r>
            <w:r>
              <w:rPr>
                <w:rFonts w:hint="eastAsia" w:ascii="Times New Roman" w:hAnsi="Times New Roman" w:eastAsia="宋体" w:cs="Times New Roman"/>
                <w:color w:val="auto"/>
                <w:szCs w:val="21"/>
              </w:rPr>
              <w:t>经中国国家认证认可监督管理委员会认可的认证机构颁发的</w:t>
            </w:r>
            <w:r>
              <w:rPr>
                <w:rFonts w:hint="eastAsia" w:ascii="宋体" w:hAnsi="宋体" w:eastAsia="宋体" w:cs="宋体"/>
                <w:bCs/>
                <w:color w:val="auto"/>
                <w:szCs w:val="21"/>
              </w:rPr>
              <w:t>有效的质量管理体系统认证证书、环境管理体系统认证证书、职业健康管理体系统认证证书的</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每提供一个得3分，本项满分9</w:t>
            </w:r>
            <w:r>
              <w:rPr>
                <w:rFonts w:hint="eastAsia" w:ascii="宋体" w:hAnsi="宋体" w:eastAsia="宋体" w:cs="宋体"/>
                <w:bCs/>
                <w:color w:val="auto"/>
                <w:szCs w:val="21"/>
              </w:rPr>
              <w:t>分</w:t>
            </w:r>
            <w:r>
              <w:rPr>
                <w:rFonts w:hint="eastAsia" w:ascii="宋体" w:hAnsi="宋体" w:eastAsia="宋体" w:cs="宋体"/>
                <w:color w:val="auto"/>
                <w:kern w:val="0"/>
                <w:sz w:val="20"/>
                <w:szCs w:val="20"/>
                <w:lang w:val="en-US" w:eastAsia="zh-CN"/>
              </w:rPr>
              <w:t>。</w:t>
            </w:r>
          </w:p>
          <w:p>
            <w:pPr>
              <w:jc w:val="left"/>
              <w:rPr>
                <w:rFonts w:ascii="Times New Roman" w:hAnsi="Times New Roman" w:eastAsia="宋体" w:cs="Times New Roman"/>
                <w:color w:val="auto"/>
                <w:szCs w:val="21"/>
              </w:rPr>
            </w:pPr>
            <w:r>
              <w:rPr>
                <w:rFonts w:hint="eastAsia" w:ascii="宋体" w:hAnsi="宋体" w:eastAsia="宋体" w:cs="宋体"/>
                <w:color w:val="auto"/>
                <w:kern w:val="0"/>
                <w:szCs w:val="24"/>
                <w:lang w:val="en-US" w:eastAsia="zh-CN"/>
              </w:rPr>
              <w:t>注：响应文件中提供有关证明材料原件扫描件及全国认证认可信息公共服务平台认证信息查询截图，未提供不得分。</w:t>
            </w:r>
          </w:p>
          <w:p>
            <w:pP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企业业绩</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15分</w:t>
            </w:r>
            <w:r>
              <w:rPr>
                <w:rFonts w:hint="eastAsia" w:ascii="宋体" w:hAnsi="宋体" w:eastAsia="宋体" w:cs="宋体"/>
                <w:b/>
                <w:bCs/>
                <w:color w:val="auto"/>
                <w:kern w:val="0"/>
                <w:sz w:val="21"/>
                <w:szCs w:val="21"/>
                <w:lang w:eastAsia="zh-CN"/>
              </w:rPr>
              <w:t>）</w:t>
            </w:r>
          </w:p>
          <w:p>
            <w:pPr>
              <w:rPr>
                <w:rFonts w:hint="eastAsia" w:ascii="宋体" w:hAnsi="宋体" w:eastAsia="宋体" w:cs="宋体"/>
                <w:b w:val="0"/>
                <w:bCs w:val="0"/>
                <w:color w:val="auto"/>
                <w:kern w:val="0"/>
                <w:sz w:val="21"/>
                <w:szCs w:val="21"/>
                <w:lang w:val="en-US" w:eastAsia="zh-CN"/>
              </w:rPr>
            </w:pPr>
            <w:r>
              <w:rPr>
                <w:rFonts w:hint="eastAsia" w:ascii="宋体" w:hAnsi="宋体" w:eastAsia="宋体" w:cs="宋体"/>
                <w:bCs/>
                <w:color w:val="auto"/>
                <w:szCs w:val="21"/>
                <w:lang w:eastAsia="zh-CN"/>
              </w:rPr>
              <w:t>供应商</w:t>
            </w:r>
            <w:r>
              <w:rPr>
                <w:rFonts w:hint="eastAsia" w:ascii="宋体" w:hAnsi="宋体" w:eastAsia="宋体" w:cs="宋体"/>
                <w:b w:val="0"/>
                <w:bCs w:val="0"/>
                <w:color w:val="auto"/>
                <w:kern w:val="0"/>
                <w:sz w:val="21"/>
                <w:szCs w:val="21"/>
                <w:lang w:val="en-US" w:eastAsia="zh-CN"/>
              </w:rPr>
              <w:t>近五年（2020年 1月1日以来），以合同签订日期为准），每有一项类似工程安全鉴定项目业绩得5 分，本项满分 15 分。</w:t>
            </w:r>
          </w:p>
          <w:p>
            <w:pP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注：须提供合同协议书并加盖公章，否则不得分。</w:t>
            </w:r>
          </w:p>
          <w:p>
            <w:pPr>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三、</w:t>
            </w:r>
            <w:r>
              <w:rPr>
                <w:rFonts w:hint="eastAsia" w:ascii="宋体" w:hAnsi="宋体" w:eastAsia="宋体" w:cs="宋体"/>
                <w:b/>
                <w:bCs/>
                <w:color w:val="auto"/>
                <w:kern w:val="0"/>
                <w:sz w:val="21"/>
                <w:szCs w:val="21"/>
              </w:rPr>
              <w:t>项目负责人</w:t>
            </w:r>
            <w:r>
              <w:rPr>
                <w:rFonts w:hint="eastAsia" w:ascii="宋体" w:hAnsi="宋体" w:eastAsia="宋体" w:cs="宋体"/>
                <w:b/>
                <w:bCs/>
                <w:color w:val="auto"/>
                <w:kern w:val="0"/>
                <w:sz w:val="21"/>
                <w:szCs w:val="21"/>
                <w:lang w:val="en-US" w:eastAsia="zh-CN"/>
              </w:rPr>
              <w:t>能力</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10分</w:t>
            </w:r>
            <w:r>
              <w:rPr>
                <w:rFonts w:hint="eastAsia" w:ascii="宋体" w:hAnsi="宋体" w:eastAsia="宋体" w:cs="宋体"/>
                <w:b/>
                <w:bCs/>
                <w:color w:val="auto"/>
                <w:kern w:val="0"/>
                <w:sz w:val="21"/>
                <w:szCs w:val="21"/>
                <w:lang w:eastAsia="zh-CN"/>
              </w:rPr>
              <w:t>）</w:t>
            </w:r>
          </w:p>
          <w:p>
            <w:pPr>
              <w:keepNext w:val="0"/>
              <w:keepLines w:val="0"/>
              <w:widowControl/>
              <w:suppressLineNumbers w:val="0"/>
              <w:jc w:val="left"/>
              <w:rPr>
                <w:rFonts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rPr>
              <w:t xml:space="preserve">1、拟派项目负责人具有水利水电工程相关专业高级及以上技术职称得 </w:t>
            </w:r>
            <w:r>
              <w:rPr>
                <w:rFonts w:hint="eastAsia" w:ascii="Times New Roman" w:hAnsi="Times New Roman" w:eastAsia="宋体" w:cs="Times New Roman"/>
                <w:color w:val="auto"/>
                <w:kern w:val="0"/>
                <w:sz w:val="21"/>
                <w:szCs w:val="21"/>
                <w:lang w:val="en-US" w:eastAsia="zh-CN"/>
              </w:rPr>
              <w:t>5</w:t>
            </w:r>
            <w:r>
              <w:rPr>
                <w:rFonts w:hint="eastAsia" w:ascii="宋体" w:hAnsi="宋体" w:eastAsia="宋体" w:cs="宋体"/>
                <w:color w:val="auto"/>
                <w:kern w:val="0"/>
                <w:sz w:val="21"/>
                <w:szCs w:val="21"/>
                <w:lang w:val="en-US" w:eastAsia="zh-CN"/>
              </w:rPr>
              <w:t>分。</w:t>
            </w:r>
          </w:p>
          <w:p>
            <w:pPr>
              <w:keepNext w:val="0"/>
              <w:keepLines w:val="0"/>
              <w:widowControl/>
              <w:suppressLineNumbers w:val="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注：提供证书扫描件或影印件</w:t>
            </w:r>
            <w:r>
              <w:rPr>
                <w:rFonts w:hint="eastAsia" w:ascii="宋体" w:hAnsi="宋体" w:eastAsia="宋体" w:cs="宋体"/>
                <w:b w:val="0"/>
                <w:bCs w:val="0"/>
                <w:color w:val="auto"/>
                <w:kern w:val="0"/>
                <w:sz w:val="21"/>
                <w:szCs w:val="21"/>
                <w:lang w:val="en-US" w:eastAsia="zh-CN"/>
              </w:rPr>
              <w:t>并加盖公章</w:t>
            </w:r>
            <w:r>
              <w:rPr>
                <w:rFonts w:hint="eastAsia" w:ascii="宋体" w:hAnsi="宋体" w:eastAsia="宋体" w:cs="宋体"/>
                <w:color w:val="auto"/>
                <w:kern w:val="0"/>
                <w:sz w:val="21"/>
                <w:szCs w:val="21"/>
                <w:lang w:val="en-US" w:eastAsia="zh-CN"/>
              </w:rPr>
              <w:t>。</w:t>
            </w:r>
          </w:p>
          <w:p>
            <w:pPr>
              <w:keepNext w:val="0"/>
              <w:keepLines w:val="0"/>
              <w:widowControl/>
              <w:suppressLineNumbers w:val="0"/>
              <w:jc w:val="left"/>
              <w:rPr>
                <w:rFonts w:ascii="Times New Roman" w:hAnsi="Times New Roman" w:eastAsia="宋体" w:cs="Times New Roman"/>
                <w:color w:val="auto"/>
                <w:sz w:val="21"/>
                <w:szCs w:val="21"/>
              </w:rPr>
            </w:pPr>
            <w:r>
              <w:rPr>
                <w:rFonts w:hint="eastAsia" w:ascii="宋体" w:hAnsi="宋体" w:eastAsia="宋体" w:cs="宋体"/>
                <w:color w:val="auto"/>
                <w:kern w:val="0"/>
                <w:sz w:val="21"/>
                <w:szCs w:val="21"/>
                <w:lang w:val="en-US" w:eastAsia="zh-CN"/>
              </w:rPr>
              <w:t>2、拟派项目负责人承担过</w:t>
            </w:r>
            <w:r>
              <w:rPr>
                <w:rFonts w:hint="eastAsia" w:ascii="宋体" w:hAnsi="宋体" w:eastAsia="宋体" w:cs="宋体"/>
                <w:b w:val="0"/>
                <w:bCs w:val="0"/>
                <w:color w:val="auto"/>
                <w:kern w:val="0"/>
                <w:sz w:val="21"/>
                <w:szCs w:val="21"/>
                <w:lang w:val="en-US" w:eastAsia="zh-CN"/>
              </w:rPr>
              <w:t>类似工程</w:t>
            </w:r>
            <w:r>
              <w:rPr>
                <w:rFonts w:hint="eastAsia" w:ascii="宋体" w:hAnsi="宋体" w:eastAsia="宋体" w:cs="宋体"/>
                <w:color w:val="auto"/>
                <w:kern w:val="0"/>
                <w:sz w:val="21"/>
                <w:szCs w:val="21"/>
                <w:lang w:val="en-US" w:eastAsia="zh-CN"/>
              </w:rPr>
              <w:t xml:space="preserve">安全鉴定服务项目业绩的得 5 分。 </w:t>
            </w:r>
          </w:p>
          <w:p>
            <w:pPr>
              <w:rPr>
                <w:rFonts w:hint="eastAsia" w:ascii="宋体" w:hAnsi="宋体" w:eastAsia="宋体" w:cs="Times New Roman"/>
                <w:color w:val="auto"/>
                <w:szCs w:val="21"/>
              </w:rPr>
            </w:pPr>
            <w:r>
              <w:rPr>
                <w:rFonts w:hint="eastAsia" w:ascii="宋体" w:hAnsi="宋体" w:eastAsia="宋体" w:cs="宋体"/>
                <w:color w:val="auto"/>
                <w:kern w:val="0"/>
                <w:sz w:val="21"/>
                <w:szCs w:val="21"/>
                <w:lang w:val="en-US" w:eastAsia="zh-CN"/>
              </w:rPr>
              <w:t>注：须提供项目负责人业绩合同协议书</w:t>
            </w:r>
            <w:r>
              <w:rPr>
                <w:rFonts w:hint="eastAsia" w:ascii="宋体" w:hAnsi="宋体" w:eastAsia="宋体" w:cs="宋体"/>
                <w:b w:val="0"/>
                <w:bCs w:val="0"/>
                <w:color w:val="auto"/>
                <w:kern w:val="0"/>
                <w:sz w:val="21"/>
                <w:szCs w:val="21"/>
                <w:lang w:val="en-US" w:eastAsia="zh-CN"/>
              </w:rPr>
              <w:t>并加盖公章</w:t>
            </w:r>
            <w:r>
              <w:rPr>
                <w:rFonts w:hint="eastAsia" w:ascii="宋体" w:hAnsi="宋体" w:eastAsia="宋体" w:cs="宋体"/>
                <w:color w:val="auto"/>
                <w:kern w:val="0"/>
                <w:sz w:val="21"/>
                <w:szCs w:val="21"/>
                <w:lang w:val="en-US" w:eastAsia="zh-CN"/>
              </w:rPr>
              <w:t>，否则不得分；项目负责人业绩与企业业绩可为同一业绩。</w:t>
            </w:r>
          </w:p>
        </w:tc>
        <w:tc>
          <w:tcPr>
            <w:tcW w:w="878" w:type="dxa"/>
          </w:tcPr>
          <w:p>
            <w:pPr>
              <w:spacing w:line="5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trPr>
        <w:tc>
          <w:tcPr>
            <w:tcW w:w="1258" w:type="dxa"/>
          </w:tcPr>
          <w:p>
            <w:pPr>
              <w:spacing w:line="5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 xml:space="preserve"> 商务分</w:t>
            </w:r>
          </w:p>
          <w:p>
            <w:pPr>
              <w:spacing w:line="500" w:lineRule="exact"/>
              <w:jc w:val="left"/>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w:t>
            </w:r>
            <w:r>
              <w:rPr>
                <w:rFonts w:hint="eastAsia" w:ascii="宋体" w:hAnsi="宋体" w:eastAsia="宋体" w:cs="宋体"/>
                <w:color w:val="auto"/>
                <w:kern w:val="0"/>
                <w:sz w:val="20"/>
                <w:szCs w:val="21"/>
                <w:lang w:val="en-US" w:eastAsia="zh-CN"/>
              </w:rPr>
              <w:t>10分</w:t>
            </w:r>
            <w:r>
              <w:rPr>
                <w:rFonts w:hint="eastAsia" w:ascii="宋体" w:hAnsi="宋体" w:eastAsia="宋体" w:cs="宋体"/>
                <w:color w:val="auto"/>
                <w:kern w:val="0"/>
                <w:sz w:val="20"/>
                <w:szCs w:val="21"/>
              </w:rPr>
              <w:t>）</w:t>
            </w:r>
          </w:p>
        </w:tc>
        <w:tc>
          <w:tcPr>
            <w:tcW w:w="163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color w:val="auto"/>
                <w:szCs w:val="21"/>
              </w:rPr>
            </w:pPr>
          </w:p>
        </w:tc>
        <w:tc>
          <w:tcPr>
            <w:tcW w:w="5633" w:type="dxa"/>
            <w:tcBorders>
              <w:top w:val="single" w:color="auto" w:sz="4" w:space="0"/>
              <w:bottom w:val="single" w:color="auto" w:sz="4" w:space="0"/>
            </w:tcBorders>
          </w:tcPr>
          <w:p>
            <w:pPr>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价格标经评审满足本文件要求且在预算范围内的投标人的总报价中，最低价格为评标基准价格，得满分；其他投标人的价格分统一按照下列公式计算： </w:t>
            </w:r>
          </w:p>
          <w:p>
            <w:pPr>
              <w:spacing w:line="500" w:lineRule="exact"/>
              <w:rPr>
                <w:rFonts w:hint="eastAsia" w:ascii="宋体" w:hAnsi="宋体" w:eastAsia="宋体" w:cs="Times New Roman"/>
                <w:color w:val="auto"/>
                <w:szCs w:val="21"/>
              </w:rPr>
            </w:pPr>
            <w:r>
              <w:rPr>
                <w:rFonts w:hint="eastAsia" w:ascii="宋体" w:hAnsi="宋体" w:eastAsia="宋体" w:cs="Times New Roman"/>
                <w:color w:val="auto"/>
                <w:szCs w:val="21"/>
              </w:rPr>
              <w:t>投标报价得分＝（评标基准价/投标报价）× 价格分分值</w:t>
            </w:r>
            <w:r>
              <w:rPr>
                <w:rFonts w:hint="eastAsia" w:ascii="宋体" w:hAnsi="宋体" w:eastAsia="宋体" w:cs="宋体"/>
                <w:color w:val="auto"/>
                <w:szCs w:val="21"/>
              </w:rPr>
              <w:t>（取小数点后两位</w:t>
            </w:r>
            <w:r>
              <w:rPr>
                <w:rFonts w:ascii="宋体" w:hAnsi="宋体" w:eastAsia="宋体" w:cs="宋体"/>
                <w:color w:val="auto"/>
                <w:szCs w:val="21"/>
              </w:rPr>
              <w:t>）</w:t>
            </w:r>
            <w:r>
              <w:rPr>
                <w:rFonts w:hint="eastAsia" w:ascii="宋体" w:hAnsi="宋体" w:eastAsia="宋体" w:cs="宋体"/>
                <w:color w:val="auto"/>
                <w:szCs w:val="21"/>
              </w:rPr>
              <w:t>。</w:t>
            </w:r>
          </w:p>
        </w:tc>
        <w:tc>
          <w:tcPr>
            <w:tcW w:w="878" w:type="dxa"/>
            <w:tcBorders>
              <w:top w:val="single" w:color="auto" w:sz="4" w:space="0"/>
              <w:bottom w:val="single" w:color="auto" w:sz="4" w:space="0"/>
            </w:tcBorders>
          </w:tcPr>
          <w:p>
            <w:pPr>
              <w:spacing w:line="500" w:lineRule="exact"/>
              <w:rPr>
                <w:rFonts w:hint="eastAsia" w:ascii="宋体" w:hAnsi="宋体" w:eastAsia="宋体" w:cs="Times New Roman"/>
                <w:color w:val="auto"/>
                <w:szCs w:val="21"/>
              </w:rPr>
            </w:pPr>
          </w:p>
        </w:tc>
      </w:tr>
    </w:tbl>
    <w:p>
      <w:pPr>
        <w:rPr>
          <w:rFonts w:ascii="Times New Roman" w:hAnsi="Times New Roman" w:eastAsia="宋体" w:cs="Times New Roman"/>
          <w:color w:val="auto"/>
          <w:szCs w:val="21"/>
        </w:rPr>
      </w:pPr>
    </w:p>
    <w:p>
      <w:pPr>
        <w:rPr>
          <w:rFonts w:ascii="Times New Roman" w:hAnsi="Times New Roman" w:eastAsia="宋体" w:cs="Times New Roman"/>
          <w:color w:val="auto"/>
          <w:szCs w:val="21"/>
        </w:rPr>
      </w:pPr>
    </w:p>
    <w:p>
      <w:pPr>
        <w:rPr>
          <w:rFonts w:ascii="Times New Roman" w:hAnsi="Times New Roman" w:eastAsia="宋体" w:cs="Times New Roman"/>
          <w:color w:val="auto"/>
          <w:szCs w:val="21"/>
        </w:rPr>
      </w:pPr>
    </w:p>
    <w:p>
      <w:pPr>
        <w:rPr>
          <w:rFonts w:ascii="Times New Roman" w:hAnsi="Times New Roman" w:eastAsia="宋体" w:cs="Times New Roman"/>
          <w:color w:val="auto"/>
          <w:szCs w:val="21"/>
        </w:rPr>
      </w:pPr>
    </w:p>
    <w:p>
      <w:bookmarkStart w:id="1" w:name="_GoBack"/>
      <w:bookmarkEnd w:id="1"/>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script"/>
    <w:pitch w:val="default"/>
    <w:sig w:usb0="00000001" w:usb1="080E0000" w:usb2="00000000" w:usb3="00000000" w:csb0="00040000" w:csb1="00000000"/>
  </w:font>
  <w:font w:name="楷体_GB2312">
    <w:altName w:val="Arial Unicode MS"/>
    <w:panose1 w:val="02010609030001010101"/>
    <w:charset w:val="86"/>
    <w:family w:val="modern"/>
    <w:pitch w:val="default"/>
    <w:sig w:usb0="00000000" w:usb1="00000000" w:usb2="00000000" w:usb3="00000000" w:csb0="00040000" w:csb1="00000000"/>
  </w:font>
  <w:font w:name="仿宋">
    <w:altName w:val="Arial Unicode MS"/>
    <w:panose1 w:val="02010609060001010101"/>
    <w:charset w:val="86"/>
    <w:family w:val="modern"/>
    <w:pitch w:val="default"/>
    <w:sig w:usb0="00000000" w:usb1="00000000" w:usb2="00000016" w:usb3="00000000" w:csb0="00040001" w:csb1="00000000"/>
  </w:font>
  <w:font w:name="Arial Unicode MS">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72462"/>
    <w:rsid w:val="3F372462"/>
    <w:rsid w:val="73493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spacing w:before="120" w:after="120" w:line="540" w:lineRule="auto"/>
    </w:pPr>
    <w:rPr>
      <w:rFonts w:ascii="Times New Roman" w:hAnsi="Times New Roman" w:eastAsia="方正仿宋简体"/>
      <w:bCs/>
      <w:caps/>
      <w:sz w:val="32"/>
      <w:szCs w:val="30"/>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2025-05-28T07:01:00Z</dcterms:created>
  <dc:creator>Administrator</dc:creator>
  <cp:lastModifiedBy>Administrator</cp:lastModifiedBy>
  <dcterms:modified xsi:type="dcterms:W3CDTF">2025-05-28T07:02:15Z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